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center"/>
        <w:rPr>
          <w:rFonts w:hint="default" w:ascii="黑体" w:hAnsi="黑体" w:eastAsia="黑体"/>
          <w:b/>
          <w:color w:val="auto"/>
          <w:spacing w:val="0"/>
          <w:position w:val="0"/>
          <w:sz w:val="36"/>
          <w:szCs w:val="36"/>
        </w:rPr>
      </w:pPr>
      <w:r>
        <w:rPr>
          <w:rFonts w:hint="default" w:ascii="黑体" w:hAnsi="黑体" w:eastAsia="黑体"/>
          <w:b/>
          <w:color w:val="auto"/>
          <w:spacing w:val="0"/>
          <w:position w:val="0"/>
          <w:sz w:val="36"/>
          <w:szCs w:val="36"/>
        </w:rPr>
        <w:t>关于举办南京中医药大学泰州校区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center"/>
        <w:rPr>
          <w:rFonts w:hint="default" w:ascii="黑体" w:hAnsi="黑体" w:eastAsia="黑体"/>
          <w:b/>
          <w:color w:val="auto"/>
          <w:spacing w:val="0"/>
          <w:position w:val="0"/>
          <w:sz w:val="36"/>
          <w:szCs w:val="36"/>
        </w:rPr>
      </w:pPr>
      <w:r>
        <w:rPr>
          <w:rFonts w:hint="default" w:ascii="黑体" w:hAnsi="黑体" w:eastAsia="黑体"/>
          <w:b/>
          <w:color w:val="auto"/>
          <w:spacing w:val="0"/>
          <w:position w:val="0"/>
          <w:sz w:val="36"/>
          <w:szCs w:val="36"/>
        </w:rPr>
        <w:t>首届田径运动会的通知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36"/>
          <w:szCs w:val="36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0"/>
          <w:szCs w:val="2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auto"/>
          <w:spacing w:val="0"/>
          <w:position w:val="0"/>
          <w:sz w:val="30"/>
          <w:szCs w:val="30"/>
        </w:rPr>
      </w:pPr>
      <w:r>
        <w:rPr>
          <w:rFonts w:hint="default" w:ascii="宋体" w:hAnsi="Calibri" w:eastAsia="Calibri"/>
          <w:b/>
          <w:color w:val="auto"/>
          <w:spacing w:val="0"/>
          <w:position w:val="0"/>
          <w:sz w:val="30"/>
          <w:szCs w:val="30"/>
        </w:rPr>
        <w:t>各班级：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60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30"/>
          <w:szCs w:val="30"/>
        </w:rPr>
      </w:pPr>
      <w:r>
        <w:rPr>
          <w:rFonts w:hint="default" w:ascii="宋体" w:hAnsi="Calibri" w:eastAsia="Calibri"/>
          <w:b w:val="0"/>
          <w:color w:val="auto"/>
          <w:spacing w:val="0"/>
          <w:position w:val="0"/>
          <w:sz w:val="30"/>
          <w:szCs w:val="30"/>
        </w:rPr>
        <w:t>为了更好地贯彻落实党的教育方针，培养德、智、体、美、劳全面发展的高级中医药人才，增强体质，提高全民健身的意识，经研究决定，定于2020年11月6日举行南京中医药大学泰州校区首届田径运动会，请各班级积极组队参加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30"/>
          <w:szCs w:val="30"/>
        </w:rPr>
      </w:pPr>
      <w:r>
        <w:rPr>
          <w:rFonts w:hint="default" w:ascii="宋体" w:hAnsi="Calibri" w:eastAsia="Calibri"/>
          <w:b w:val="0"/>
          <w:color w:val="auto"/>
          <w:spacing w:val="0"/>
          <w:position w:val="0"/>
          <w:sz w:val="30"/>
          <w:szCs w:val="30"/>
        </w:rPr>
        <w:t xml:space="preserve">                                                                                                                        </w:t>
      </w:r>
      <w:r>
        <w:rPr>
          <w:rFonts w:hint="default" w:ascii="宋体" w:hAnsi="Calibri" w:eastAsia="Calibri"/>
          <w:b w:val="0"/>
          <w:color w:val="auto"/>
          <w:spacing w:val="0"/>
          <w:position w:val="0"/>
          <w:sz w:val="28"/>
          <w:szCs w:val="28"/>
        </w:rPr>
        <w:t>附件:南京中医药大学泰州校区首届田径运动会竞赛规程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75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30"/>
          <w:szCs w:val="3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75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30"/>
          <w:szCs w:val="3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4500"/>
        <w:jc w:val="both"/>
        <w:rPr>
          <w:rFonts w:hint="eastAsia" w:ascii="宋体" w:hAnsi="Calibri" w:eastAsia="宋体"/>
          <w:b w:val="0"/>
          <w:color w:val="auto"/>
          <w:spacing w:val="0"/>
          <w:position w:val="0"/>
          <w:sz w:val="30"/>
          <w:szCs w:val="30"/>
          <w:lang w:eastAsia="zh-CN"/>
        </w:rPr>
      </w:pPr>
      <w:r>
        <w:rPr>
          <w:rFonts w:hint="default" w:ascii="宋体" w:hAnsi="Calibri" w:eastAsia="Calibri"/>
          <w:b w:val="0"/>
          <w:color w:val="auto"/>
          <w:spacing w:val="0"/>
          <w:position w:val="0"/>
          <w:sz w:val="30"/>
          <w:szCs w:val="30"/>
        </w:rPr>
        <w:t>南京中医药大学泰州校区学工</w:t>
      </w:r>
      <w:r>
        <w:rPr>
          <w:rFonts w:hint="eastAsia" w:hAnsi="Calibri"/>
          <w:b w:val="0"/>
          <w:color w:val="auto"/>
          <w:spacing w:val="0"/>
          <w:position w:val="0"/>
          <w:sz w:val="30"/>
          <w:szCs w:val="30"/>
          <w:lang w:val="en-US" w:eastAsia="zh-CN"/>
        </w:rPr>
        <w:t>办</w:t>
      </w:r>
      <w:bookmarkStart w:id="0" w:name="_GoBack"/>
      <w:bookmarkEnd w:id="0"/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400"/>
        <w:jc w:val="both"/>
        <w:rPr>
          <w:rFonts w:hint="default" w:ascii="宋体" w:hAnsi="宋体" w:eastAsia="宋体"/>
          <w:b w:val="0"/>
          <w:color w:val="auto"/>
          <w:spacing w:val="0"/>
          <w:position w:val="0"/>
          <w:sz w:val="30"/>
          <w:szCs w:val="30"/>
        </w:rPr>
      </w:pPr>
      <w:r>
        <w:rPr>
          <w:rFonts w:hint="default" w:ascii="宋体" w:hAnsi="Calibri" w:eastAsia="Calibri"/>
          <w:b w:val="0"/>
          <w:color w:val="auto"/>
          <w:spacing w:val="0"/>
          <w:position w:val="0"/>
          <w:sz w:val="30"/>
          <w:szCs w:val="30"/>
        </w:rPr>
        <w:t>2020年10月20日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0"/>
          <w:szCs w:val="2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0"/>
          <w:szCs w:val="2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0"/>
          <w:szCs w:val="2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0"/>
          <w:szCs w:val="2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0"/>
          <w:szCs w:val="2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0"/>
          <w:szCs w:val="20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napToGrid w:val="0"/>
        <w:spacing w:before="0" w:after="160" w:line="240" w:lineRule="auto"/>
        <w:ind w:right="0" w:firstLine="0"/>
        <w:jc w:val="center"/>
        <w:rPr>
          <w:rFonts w:hint="default" w:ascii="宋体" w:hAnsi="宋体" w:eastAsia="宋体"/>
          <w:b/>
          <w:color w:val="auto"/>
          <w:position w:val="0"/>
          <w:sz w:val="36"/>
          <w:szCs w:val="36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center"/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center"/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center"/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center"/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center"/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</w:pPr>
      <w:r>
        <w:rPr>
          <w:rFonts w:hint="default" w:ascii="黑体" w:hAnsi="黑体" w:eastAsia="黑体"/>
          <w:b/>
          <w:color w:val="auto"/>
          <w:spacing w:val="0"/>
          <w:position w:val="0"/>
          <w:sz w:val="32"/>
          <w:szCs w:val="32"/>
        </w:rPr>
        <w:t>南京中医药大学泰州校区首届田径运动会竞赛规程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一、比赛日期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2020年11月6日（周五）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二、竞赛地点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学院田径场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三、比赛项目</w:t>
      </w:r>
    </w:p>
    <w:p>
      <w:pPr>
        <w:pageBreakBefore w:val="0"/>
        <w:numPr>
          <w:ilvl w:val="0"/>
          <w:numId w:val="0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left="737" w:right="0" w:hanging="272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1、学生女子组：100米、200米、400米、800米、1500米</w:t>
      </w:r>
    </w:p>
    <w:p>
      <w:pPr>
        <w:pageBreakBefore w:val="0"/>
        <w:numPr>
          <w:ilvl w:val="0"/>
          <w:numId w:val="0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right="0" w:firstLine="84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4×100米、4×400米、跳高、跳远、三级跳远、铅球(4kg)；</w:t>
      </w:r>
    </w:p>
    <w:p>
      <w:pPr>
        <w:pageBreakBefore w:val="0"/>
        <w:numPr>
          <w:ilvl w:val="0"/>
          <w:numId w:val="1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left="737" w:right="0" w:hanging="272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学生男子组：100米、200米、400米、800米、1500米</w:t>
      </w:r>
    </w:p>
    <w:p>
      <w:pPr>
        <w:pageBreakBefore w:val="0"/>
        <w:numPr>
          <w:ilvl w:val="0"/>
          <w:numId w:val="0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left="465" w:right="0" w:firstLine="28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4×100米、4×400米、跳高、跳远、三级跳远、铅球(6kg)，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四、参加单位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 xml:space="preserve">1、学生组  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20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20级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生物药1      20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20级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生物药2      20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20级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制药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、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20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20级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中医（定向）1        20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20级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中医（定向）2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20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20级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中医（全科）1        20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20级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中医（全科）2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五、参赛办法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28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1、报名资格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学生组：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报名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运动员必须是具有</w:t>
      </w: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南京中医药大学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正式学籍的全日制在校生（身体健康）。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28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2、参加人数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各单位均限报1队，每队可报团长、领队、教练1—2人；低于3人报名的运动项目本次赛事将取消。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28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3、参加项目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auto"/>
          <w:spacing w:val="0"/>
          <w:position w:val="0"/>
          <w:sz w:val="32"/>
          <w:szCs w:val="32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 xml:space="preserve">    男、女每个竞赛单项每队均限报6人，每人限报2项，可兼报接力项目，每参赛单位男、女接力项目均限报1个队。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六、报名方法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1、本次报名采用网上报名和人工填表相结合的方法，报名材料需完整齐全。（</w:t>
      </w:r>
      <w:r>
        <w:rPr>
          <w:rFonts w:hint="default" w:ascii="宋体" w:hAnsi="Calibri" w:eastAsia="Calibri"/>
          <w:b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报名工作由学工办指定专人负责。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各参赛单位以竞赛规程规定的代表队为单位，报名负责人尽快加QQ群联系基础部体育教研室巩振阳老师完成报名及后续工作。）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2、网上报名请登录网址</w:t>
      </w:r>
      <w:r>
        <w:rPr>
          <w:rFonts w:hint="default" w:ascii="宋体" w:hAnsi="Calibri" w:eastAsia="Calibri"/>
          <w:b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Calibri" w:eastAsia="Calibri"/>
          <w:b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http://bm.ydh800.cn运动会代码为：KLVE（大写）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。登录密码会分别通知各单位，请相关负责人及时在本单位传达，以免延误报名。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3、网络提交报名后请各单位汇总并打印出纸质报名表一式两份，领队签字、盖章后交体育教研室巩振阳老师处。地址：田径场北1办公室，联系方式：电话：15998619556；参赛报名领队、教练咨询QQ群：950132079(群二维码附后)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  <w:u w:val="single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4、报名截止日期为2020年10月26日（周一）17：00时</w:t>
      </w:r>
      <w:r>
        <w:rPr>
          <w:rFonts w:hint="default" w:ascii="宋体" w:hAnsi="Calibri" w:eastAsia="Calibri"/>
          <w:b/>
          <w:color w:val="auto"/>
          <w:spacing w:val="0"/>
          <w:position w:val="0"/>
          <w:sz w:val="28"/>
          <w:szCs w:val="28"/>
        </w:rPr>
        <w:t>，</w:t>
      </w: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逾期</w:t>
      </w:r>
      <w:r>
        <w:rPr>
          <w:rFonts w:hint="default" w:ascii="宋体" w:hAnsi="Calibri" w:eastAsia="Calibri"/>
          <w:b/>
          <w:color w:val="auto"/>
          <w:spacing w:val="0"/>
          <w:position w:val="0"/>
          <w:sz w:val="28"/>
          <w:szCs w:val="28"/>
        </w:rPr>
        <w:t>网络报名系统自动关闭，</w:t>
      </w:r>
      <w:r>
        <w:rPr>
          <w:rFonts w:hint="default" w:ascii="宋体" w:hAnsi="Calibri" w:eastAsia="Calibri"/>
          <w:b/>
          <w:color w:val="auto"/>
          <w:spacing w:val="0"/>
          <w:position w:val="0"/>
          <w:sz w:val="28"/>
          <w:szCs w:val="28"/>
          <w:u w:val="single"/>
        </w:rPr>
        <w:t>系统关闭后</w:t>
      </w: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  <w:u w:val="single"/>
        </w:rPr>
        <w:t>报名数据不得更改。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七、竞赛方法</w:t>
      </w:r>
    </w:p>
    <w:p>
      <w:pPr>
        <w:pageBreakBefore w:val="0"/>
        <w:numPr>
          <w:ilvl w:val="0"/>
          <w:numId w:val="0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left="737" w:right="0" w:hanging="272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1、采用中国田协审定的最新田径规则；</w:t>
      </w:r>
    </w:p>
    <w:p>
      <w:pPr>
        <w:pageBreakBefore w:val="0"/>
        <w:numPr>
          <w:ilvl w:val="0"/>
          <w:numId w:val="0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left="737" w:right="0" w:hanging="272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2、学生组运动员号码布由大会统一配置。</w:t>
      </w:r>
    </w:p>
    <w:p>
      <w:pPr>
        <w:pageBreakBefore w:val="0"/>
        <w:numPr>
          <w:ilvl w:val="0"/>
          <w:numId w:val="0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left="737" w:right="0" w:hanging="272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3、学生参赛请带齐学生证、身份证进行检录。</w:t>
      </w:r>
    </w:p>
    <w:p>
      <w:pPr>
        <w:pageBreakBefore w:val="0"/>
        <w:numPr>
          <w:ilvl w:val="0"/>
          <w:numId w:val="0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left="737" w:right="0" w:hanging="272"/>
        <w:jc w:val="both"/>
        <w:rPr>
          <w:rFonts w:hint="default" w:ascii="宋体" w:hAnsi="Calibri" w:eastAsia="Calibri"/>
          <w:b w:val="0"/>
          <w:smallCaps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smallCaps w:val="0"/>
          <w:color w:val="000000"/>
          <w:spacing w:val="0"/>
          <w:position w:val="0"/>
          <w:sz w:val="28"/>
          <w:szCs w:val="28"/>
        </w:rPr>
        <w:t>4、所有径赛项目均一次性预决赛并按成绩录取名次。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宋体" w:eastAsia="宋体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八、录取名次与计分</w:t>
      </w:r>
      <w:r>
        <w:rPr>
          <w:rFonts w:hint="default" w:ascii="宋体" w:hAnsi="宋体" w:eastAsia="宋体"/>
          <w:b/>
          <w:color w:val="000000"/>
          <w:spacing w:val="0"/>
          <w:position w:val="0"/>
          <w:sz w:val="28"/>
          <w:szCs w:val="28"/>
        </w:rPr>
        <w:t>方法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1、团体名次：学生组设女子团体总分前6名、男子团体总分前6名、男女混合团体总分前6名。团体总分按各单位运动员在各单项的得分累计，得分多者名次排前。如得分相同，则以第一名多者名次排前，依次类推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2、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个人名次：各单项均取前8名，按9、7、6、5、4、3、2、1计分。名次并列，其后名次相应减少，得分平均。报名人数不足8人的项目，按高限计分。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3、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加分：接力项目双倍计分，破校纪录另加9分（同一项目每人次只加一次）。</w:t>
      </w:r>
    </w:p>
    <w:p>
      <w:pPr>
        <w:pageBreakBefore w:val="0"/>
        <w:numPr>
          <w:ilvl w:val="0"/>
          <w:numId w:val="0"/>
        </w:numPr>
        <w:tabs>
          <w:tab w:val="left" w:pos="839"/>
        </w:tabs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8"/>
          <w:szCs w:val="28"/>
        </w:rPr>
      </w:pPr>
      <w:r>
        <w:rPr>
          <w:rFonts w:hint="default" w:ascii="宋体" w:hAnsi="宋体" w:eastAsia="宋体"/>
          <w:b w:val="0"/>
          <w:color w:val="000000"/>
          <w:spacing w:val="0"/>
          <w:position w:val="0"/>
          <w:sz w:val="28"/>
          <w:szCs w:val="28"/>
        </w:rPr>
        <w:t>4、</w:t>
      </w: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报名人数不足3人（队）的项目取消。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九、申诉办法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56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比赛中运动员如果对竞赛安排、裁判执法或者比赛结果等存在异议，可向竞赛总裁判长直至仲裁委员会申诉，并附书面材料。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十、奖励方法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42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1、学生组前8名颁发证书及奖品，团体前6名颁发奖杯或锦旗。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42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2、学生组设体育道德风尚奖6名，颁发奖状或者锦旗。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/>
          <w:color w:val="000000"/>
          <w:spacing w:val="0"/>
          <w:position w:val="0"/>
          <w:sz w:val="28"/>
          <w:szCs w:val="28"/>
        </w:rPr>
        <w:t>十一、注意事项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left="435" w:right="0" w:firstLine="0"/>
        <w:jc w:val="both"/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1、未尽事宜另行通知；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left="435" w:right="0" w:firstLine="0"/>
        <w:jc w:val="both"/>
        <w:rPr>
          <w:rFonts w:hint="default" w:ascii="宋体" w:hAnsi="Calibri" w:eastAsia="Calibri"/>
          <w:b w:val="0"/>
          <w:color w:val="auto"/>
          <w:spacing w:val="0"/>
          <w:position w:val="0"/>
          <w:sz w:val="24"/>
          <w:szCs w:val="24"/>
        </w:rPr>
      </w:pPr>
      <w:r>
        <w:rPr>
          <w:rFonts w:hint="default" w:ascii="宋体" w:hAnsi="Calibri" w:eastAsia="Calibri"/>
          <w:b w:val="0"/>
          <w:color w:val="000000"/>
          <w:spacing w:val="0"/>
          <w:position w:val="0"/>
          <w:sz w:val="28"/>
          <w:szCs w:val="28"/>
        </w:rPr>
        <w:t>2、本竞赛规程最终解释权归南京中医药大学泰州校区学工办。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auto"/>
          <w:spacing w:val="0"/>
          <w:position w:val="0"/>
          <w:sz w:val="28"/>
          <w:szCs w:val="28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 w:val="0"/>
        <w:spacing w:before="0" w:after="0" w:line="240" w:lineRule="auto"/>
        <w:ind w:right="0" w:firstLine="0"/>
        <w:jc w:val="both"/>
        <w:rPr>
          <w:rFonts w:hint="default" w:ascii="宋体" w:hAnsi="Calibri" w:eastAsia="Calibri"/>
          <w:b/>
          <w:color w:val="auto"/>
          <w:spacing w:val="0"/>
          <w:position w:val="0"/>
          <w:sz w:val="28"/>
          <w:szCs w:val="28"/>
        </w:rPr>
      </w:pPr>
      <w:r>
        <w:rPr>
          <w:sz w:val="20"/>
        </w:rPr>
        <w:drawing>
          <wp:inline distT="0" distB="0" distL="0" distR="0">
            <wp:extent cx="5800090" cy="8469630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47026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  <w:lvl w:ilvl="1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  <w:lvl w:ilvl="2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  <w:lvl w:ilvl="3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  <w:lvl w:ilvl="4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  <w:lvl w:ilvl="5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  <w:lvl w:ilvl="6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  <w:lvl w:ilvl="7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  <w:lvl w:ilvl="8" w:tentative="0">
      <w:start w:val="2"/>
      <w:numFmt w:val="decimal"/>
      <w:suff w:val="nothing"/>
      <w:lvlText w:val="%1、"/>
      <w:lvlJc w:val="left"/>
      <w:pPr>
        <w:pageBreakBefore w:val="0"/>
        <w:widowControl/>
        <w:numPr>
          <w:ilvl w:val="0"/>
          <w:numId w:val="0"/>
        </w:numPr>
        <w:kinsoku/>
        <w:overflowPunct/>
        <w:autoSpaceDE/>
        <w:autoSpaceDN/>
        <w:ind w:firstLine="0"/>
        <w:jc w:val="both"/>
        <w:textAlignment w:val="baseline"/>
      </w:pPr>
      <w:rPr>
        <w:rFonts w:ascii="宋体" w:hAnsi="宋体" w:eastAsia="Calibri"/>
        <w:b w:val="0"/>
        <w:color w:val="000000"/>
        <w:w w:val="100"/>
        <w:sz w:val="28"/>
        <w:szCs w:val="28"/>
        <w:shd w:val="cle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16C57ED3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algun Gothic" w:hAnsi="Malgun Gothic" w:eastAsia="Malgun Gothic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3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151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宋体" w:hAnsi="宋体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宋体" w:hAnsi="宋体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宋体" w:hAnsi="宋体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12">
    <w:name w:val="toa heading"/>
    <w:basedOn w:val="1"/>
    <w:next w:val="1"/>
    <w:qFormat/>
    <w:uiPriority w:val="151"/>
    <w:pPr>
      <w:widowControl/>
      <w:tabs>
        <w:tab w:val="left" w:pos="377"/>
      </w:tabs>
      <w:wordWrap/>
      <w:autoSpaceDE/>
      <w:autoSpaceDN/>
    </w:pPr>
    <w:rPr>
      <w:rFonts w:ascii="Arial" w:hAnsi="Arial" w:eastAsia="Arial"/>
      <w:w w:val="100"/>
      <w:sz w:val="24"/>
      <w:szCs w:val="24"/>
      <w:shd w:val="clear"/>
    </w:rPr>
  </w:style>
  <w:style w:type="paragraph" w:styleId="13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14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16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both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宋体" w:hAnsi="宋体" w:eastAsia="宋体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宋体" w:hAnsi="宋体" w:eastAsia="宋体"/>
      <w:b/>
      <w:w w:val="100"/>
      <w:sz w:val="32"/>
      <w:szCs w:val="32"/>
      <w:shd w:val="clear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9">
    <w:name w:val="No Spacing"/>
    <w:qFormat/>
    <w:uiPriority w:val="5"/>
    <w:pPr>
      <w:widowControl/>
      <w:wordWrap/>
      <w:autoSpaceDE/>
      <w:autoSpaceDN/>
      <w:jc w:val="both"/>
    </w:pPr>
    <w:rPr>
      <w:rFonts w:ascii="宋体" w:hAnsi="宋体" w:eastAsia="宋体"/>
      <w:w w:val="100"/>
      <w:sz w:val="21"/>
      <w:szCs w:val="21"/>
      <w:shd w:val="clear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2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宋体" w:hAnsi="宋体" w:eastAsia="宋体"/>
      <w:i/>
      <w:color w:val="404040"/>
      <w:w w:val="100"/>
      <w:sz w:val="21"/>
      <w:szCs w:val="21"/>
      <w:shd w:val="clear"/>
    </w:rPr>
  </w:style>
  <w:style w:type="paragraph" w:styleId="33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宋体" w:hAnsi="宋体" w:eastAsia="宋体"/>
      <w:i/>
      <w:color w:val="5B9BD5"/>
      <w:w w:val="100"/>
      <w:sz w:val="21"/>
      <w:szCs w:val="21"/>
      <w:shd w:val="clear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7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宋体" w:hAnsi="宋体" w:eastAsia="宋体"/>
      <w:w w:val="100"/>
      <w:sz w:val="21"/>
      <w:szCs w:val="21"/>
      <w:shd w:val="clear"/>
    </w:rPr>
  </w:style>
  <w:style w:type="paragraph" w:customStyle="1" w:styleId="38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宋体" w:hAnsi="宋体" w:eastAsia="宋体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92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2020-11-10T01:29:11Z</dcterms:created>
  <dc:creator>Administrator</dc:creator>
  <cp:lastModifiedBy>麻油小胖墩</cp:lastModifiedBy>
  <dcterms:modified xsi:type="dcterms:W3CDTF">2020-11-10T01:29:18Z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