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2C89C">
      <w:pPr>
        <w:jc w:val="center"/>
        <w:rPr>
          <w:rFonts w:hint="eastAsia" w:ascii="仿宋" w:hAnsi="仿宋" w:eastAsia="仿宋" w:cs="仿宋"/>
          <w:b/>
          <w:color w:val="000000"/>
          <w:sz w:val="24"/>
          <w:szCs w:val="24"/>
        </w:rPr>
      </w:pPr>
    </w:p>
    <w:p w14:paraId="591250ED">
      <w:pPr>
        <w:jc w:val="center"/>
        <w:rPr>
          <w:rFonts w:hint="eastAsia" w:ascii="仿宋" w:hAnsi="仿宋" w:eastAsia="仿宋" w:cs="仿宋"/>
          <w:b/>
          <w:color w:val="000000"/>
          <w:sz w:val="24"/>
          <w:szCs w:val="24"/>
        </w:rPr>
      </w:pPr>
    </w:p>
    <w:p w14:paraId="7F8FD6BD">
      <w:pPr>
        <w:jc w:val="center"/>
        <w:rPr>
          <w:rFonts w:hint="eastAsia" w:ascii="黑体" w:hAnsi="黑体" w:eastAsia="黑体" w:cs="黑体"/>
          <w:b/>
          <w:sz w:val="36"/>
          <w:szCs w:val="36"/>
        </w:rPr>
      </w:pPr>
    </w:p>
    <w:p w14:paraId="07AF1B41">
      <w:pPr>
        <w:pStyle w:val="18"/>
        <w:rPr>
          <w:rFonts w:hint="eastAsia" w:ascii="黑体" w:hAnsi="黑体" w:eastAsia="黑体" w:cs="黑体"/>
          <w:b/>
          <w:sz w:val="36"/>
          <w:szCs w:val="36"/>
        </w:rPr>
      </w:pPr>
    </w:p>
    <w:p w14:paraId="45EEB9A9">
      <w:pPr>
        <w:rPr>
          <w:rFonts w:hint="default" w:ascii="Calibri" w:hAnsi="Calibri" w:eastAsia="宋体" w:cs="Times New Roman"/>
          <w:b w:val="0"/>
          <w:sz w:val="21"/>
          <w:szCs w:val="24"/>
        </w:rPr>
      </w:pPr>
    </w:p>
    <w:p w14:paraId="3BC45C93">
      <w:pPr>
        <w:jc w:val="center"/>
        <w:rPr>
          <w:rFonts w:hint="eastAsia" w:ascii="方正小标宋_GBK" w:hAnsi="方正小标宋_GBK" w:eastAsia="方正小标宋_GBK" w:cs="方正小标宋_GBK"/>
          <w:b/>
          <w:sz w:val="44"/>
          <w:szCs w:val="44"/>
          <w:u w:val="single"/>
          <w:lang w:val="en-US" w:eastAsia="zh-CN"/>
        </w:rPr>
      </w:pPr>
      <w:r>
        <w:rPr>
          <w:rFonts w:hint="eastAsia" w:ascii="方正小标宋_GBK" w:hAnsi="方正小标宋_GBK" w:eastAsia="方正小标宋_GBK" w:cs="方正小标宋_GBK"/>
          <w:b/>
          <w:sz w:val="44"/>
          <w:szCs w:val="44"/>
          <w:u w:val="single"/>
          <w:lang w:eastAsia="zh-CN"/>
        </w:rPr>
        <w:t>南京中医药大学</w:t>
      </w:r>
      <w:r>
        <w:rPr>
          <w:rFonts w:hint="eastAsia" w:ascii="方正小标宋_GBK" w:hAnsi="方正小标宋_GBK" w:eastAsia="方正小标宋_GBK" w:cs="方正小标宋_GBK"/>
          <w:b/>
          <w:sz w:val="44"/>
          <w:szCs w:val="44"/>
          <w:u w:val="single"/>
          <w:lang w:val="en-US" w:eastAsia="zh-CN"/>
        </w:rPr>
        <w:t>泰州校区</w:t>
      </w:r>
    </w:p>
    <w:p w14:paraId="7F889E8D">
      <w:pPr>
        <w:jc w:val="center"/>
        <w:rPr>
          <w:rFonts w:hint="eastAsia" w:ascii="方正小标宋_GBK" w:hAnsi="方正小标宋_GBK" w:eastAsia="方正小标宋_GBK" w:cs="方正小标宋_GBK"/>
          <w:b/>
          <w:sz w:val="44"/>
          <w:szCs w:val="44"/>
          <w:u w:val="single"/>
          <w:lang w:eastAsia="zh-CN"/>
        </w:rPr>
      </w:pPr>
      <w:r>
        <w:rPr>
          <w:rFonts w:hint="eastAsia" w:ascii="方正小标宋_GBK" w:hAnsi="方正小标宋_GBK" w:eastAsia="方正小标宋_GBK" w:cs="方正小标宋_GBK"/>
          <w:b/>
          <w:sz w:val="44"/>
          <w:szCs w:val="44"/>
          <w:u w:val="single"/>
          <w:lang w:eastAsia="zh-CN"/>
        </w:rPr>
        <w:t>智慧门禁（人脸识别）管理系统维保</w:t>
      </w:r>
    </w:p>
    <w:p w14:paraId="3F47DBC1">
      <w:pPr>
        <w:jc w:val="center"/>
        <w:rPr>
          <w:rFonts w:hint="eastAsia" w:ascii="方正小标宋_GBK" w:hAnsi="方正小标宋_GBK" w:eastAsia="方正小标宋_GBK" w:cs="方正小标宋_GBK"/>
          <w:b/>
          <w:sz w:val="44"/>
          <w:szCs w:val="44"/>
          <w:u w:val="single"/>
          <w:lang w:eastAsia="zh-CN"/>
        </w:rPr>
      </w:pPr>
      <w:r>
        <w:rPr>
          <w:rFonts w:hint="eastAsia" w:ascii="方正小标宋_GBK" w:hAnsi="方正小标宋_GBK" w:eastAsia="方正小标宋_GBK" w:cs="方正小标宋_GBK"/>
          <w:b/>
          <w:sz w:val="44"/>
          <w:szCs w:val="44"/>
          <w:u w:val="single"/>
          <w:lang w:eastAsia="zh-CN"/>
        </w:rPr>
        <w:t>服务项目</w:t>
      </w:r>
    </w:p>
    <w:p w14:paraId="198F81CA">
      <w:pPr>
        <w:spacing w:line="240" w:lineRule="auto"/>
        <w:jc w:val="center"/>
        <w:rPr>
          <w:rFonts w:hint="eastAsia" w:ascii="Times New Roman" w:hAnsi="Times New Roman" w:eastAsia="黑体" w:cs="Times New Roman"/>
          <w:b/>
          <w:sz w:val="48"/>
          <w:lang w:eastAsia="zh-CN"/>
        </w:rPr>
      </w:pPr>
    </w:p>
    <w:p w14:paraId="68E7244E">
      <w:pPr>
        <w:spacing w:line="360" w:lineRule="auto"/>
        <w:jc w:val="center"/>
        <w:rPr>
          <w:rFonts w:ascii="Times New Roman" w:hAnsi="Times New Roman" w:eastAsia="黑体" w:cs="Times New Roman"/>
          <w:b/>
          <w:sz w:val="48"/>
        </w:rPr>
      </w:pPr>
      <w:r>
        <w:rPr>
          <w:rFonts w:hint="eastAsia" w:ascii="Times New Roman" w:hAnsi="Times New Roman" w:eastAsia="黑体" w:cs="Times New Roman"/>
          <w:b/>
          <w:sz w:val="48"/>
        </w:rPr>
        <w:t>遴  选  文</w:t>
      </w:r>
      <w:r>
        <w:rPr>
          <w:rFonts w:ascii="Times New Roman" w:hAnsi="Times New Roman" w:eastAsia="黑体" w:cs="Times New Roman"/>
          <w:b/>
          <w:sz w:val="48"/>
        </w:rPr>
        <w:t xml:space="preserve">  </w:t>
      </w:r>
      <w:r>
        <w:rPr>
          <w:rFonts w:hint="eastAsia" w:ascii="Times New Roman" w:hAnsi="Times New Roman" w:eastAsia="黑体" w:cs="Times New Roman"/>
          <w:b/>
          <w:sz w:val="48"/>
        </w:rPr>
        <w:t>件</w:t>
      </w:r>
    </w:p>
    <w:p w14:paraId="0E0B0034">
      <w:pPr>
        <w:spacing w:line="440" w:lineRule="exact"/>
        <w:jc w:val="center"/>
        <w:rPr>
          <w:rFonts w:hint="eastAsia" w:ascii="仿宋" w:hAnsi="仿宋" w:eastAsia="仿宋" w:cs="仿宋"/>
          <w:b/>
          <w:sz w:val="36"/>
          <w:szCs w:val="36"/>
          <w:highlight w:val="yellow"/>
        </w:rPr>
      </w:pPr>
    </w:p>
    <w:p w14:paraId="659464C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highlight w:val="none"/>
        </w:rPr>
        <w:t>（编号：2025TZXQ-BWLX0</w:t>
      </w:r>
      <w:r>
        <w:rPr>
          <w:rFonts w:hint="eastAsia" w:ascii="仿宋" w:hAnsi="仿宋" w:eastAsia="仿宋" w:cs="仿宋"/>
          <w:b/>
          <w:sz w:val="36"/>
          <w:szCs w:val="36"/>
          <w:highlight w:val="none"/>
          <w:lang w:val="en-US" w:eastAsia="zh-CN"/>
        </w:rPr>
        <w:t>2</w:t>
      </w:r>
      <w:r>
        <w:rPr>
          <w:rFonts w:hint="eastAsia" w:ascii="仿宋" w:hAnsi="仿宋" w:eastAsia="仿宋" w:cs="仿宋"/>
          <w:b/>
          <w:sz w:val="36"/>
          <w:szCs w:val="36"/>
          <w:highlight w:val="none"/>
        </w:rPr>
        <w:t>）</w:t>
      </w:r>
      <w:r>
        <w:rPr>
          <w:rFonts w:hint="eastAsia" w:ascii="仿宋" w:hAnsi="仿宋" w:eastAsia="仿宋" w:cs="仿宋"/>
          <w:b/>
          <w:sz w:val="36"/>
          <w:szCs w:val="36"/>
        </w:rPr>
        <w:t xml:space="preserve"> </w:t>
      </w:r>
    </w:p>
    <w:p w14:paraId="370D1BA2">
      <w:pPr>
        <w:rPr>
          <w:rFonts w:hint="eastAsia" w:ascii="仿宋" w:hAnsi="仿宋" w:eastAsia="仿宋" w:cs="仿宋"/>
          <w:sz w:val="36"/>
          <w:szCs w:val="36"/>
        </w:rPr>
      </w:pPr>
    </w:p>
    <w:p w14:paraId="28163015">
      <w:pPr>
        <w:rPr>
          <w:rFonts w:hint="eastAsia" w:ascii="仿宋" w:hAnsi="仿宋" w:eastAsia="仿宋" w:cs="仿宋"/>
          <w:sz w:val="36"/>
          <w:szCs w:val="36"/>
        </w:rPr>
      </w:pPr>
    </w:p>
    <w:p w14:paraId="186A0126">
      <w:pPr>
        <w:pStyle w:val="24"/>
        <w:ind w:left="0" w:leftChars="0" w:firstLine="0" w:firstLineChars="0"/>
        <w:rPr>
          <w:rFonts w:hint="eastAsia" w:ascii="仿宋" w:hAnsi="仿宋" w:eastAsia="仿宋" w:cs="仿宋"/>
          <w:sz w:val="36"/>
          <w:szCs w:val="36"/>
        </w:rPr>
      </w:pPr>
    </w:p>
    <w:p w14:paraId="11A1A610">
      <w:pPr>
        <w:pStyle w:val="24"/>
        <w:rPr>
          <w:rFonts w:hint="eastAsia" w:ascii="仿宋" w:hAnsi="仿宋" w:eastAsia="仿宋" w:cs="仿宋"/>
          <w:sz w:val="36"/>
          <w:szCs w:val="36"/>
        </w:rPr>
      </w:pPr>
    </w:p>
    <w:p w14:paraId="0FA8182C">
      <w:pPr>
        <w:rPr>
          <w:rFonts w:hint="eastAsia" w:ascii="仿宋" w:hAnsi="仿宋" w:eastAsia="仿宋" w:cs="仿宋"/>
          <w:sz w:val="36"/>
          <w:szCs w:val="36"/>
        </w:rPr>
      </w:pPr>
    </w:p>
    <w:p w14:paraId="402F6302">
      <w:pPr>
        <w:jc w:val="center"/>
        <w:rPr>
          <w:rFonts w:hint="eastAsia" w:ascii="仿宋" w:hAnsi="仿宋" w:eastAsia="仿宋" w:cs="仿宋"/>
          <w:sz w:val="36"/>
          <w:szCs w:val="36"/>
        </w:rPr>
      </w:pPr>
    </w:p>
    <w:p w14:paraId="458C24D4">
      <w:pPr>
        <w:spacing w:line="700" w:lineRule="exact"/>
        <w:ind w:left="0" w:leftChars="0" w:firstLine="0" w:firstLineChars="0"/>
        <w:jc w:val="both"/>
        <w:rPr>
          <w:rFonts w:hint="eastAsia" w:ascii="仿宋" w:hAnsi="仿宋" w:eastAsia="仿宋" w:cs="仿宋"/>
          <w:b/>
          <w:sz w:val="36"/>
          <w:szCs w:val="36"/>
        </w:rPr>
      </w:pPr>
    </w:p>
    <w:p w14:paraId="548746E3">
      <w:pPr>
        <w:spacing w:line="700" w:lineRule="exact"/>
        <w:ind w:left="3243" w:leftChars="684" w:hanging="1807" w:hangingChars="500"/>
        <w:jc w:val="center"/>
        <w:rPr>
          <w:rFonts w:hint="eastAsia" w:ascii="仿宋" w:hAnsi="仿宋" w:eastAsia="仿宋" w:cs="仿宋"/>
          <w:b/>
          <w:sz w:val="36"/>
          <w:szCs w:val="36"/>
        </w:rPr>
      </w:pPr>
    </w:p>
    <w:p w14:paraId="7472383D">
      <w:pPr>
        <w:spacing w:line="700" w:lineRule="exact"/>
        <w:ind w:firstLine="0" w:firstLineChars="0"/>
        <w:jc w:val="center"/>
        <w:rPr>
          <w:rFonts w:hint="default" w:ascii="仿宋" w:hAnsi="仿宋" w:eastAsia="仿宋" w:cs="仿宋"/>
          <w:b/>
          <w:sz w:val="36"/>
          <w:szCs w:val="36"/>
          <w:u w:val="none"/>
          <w:lang w:val="en-US" w:eastAsia="zh-CN"/>
        </w:rPr>
      </w:pPr>
      <w:r>
        <w:rPr>
          <w:rFonts w:hint="eastAsia" w:ascii="仿宋" w:hAnsi="仿宋" w:eastAsia="仿宋" w:cs="仿宋"/>
          <w:b/>
          <w:sz w:val="36"/>
          <w:szCs w:val="36"/>
          <w:u w:val="none"/>
          <w:lang w:eastAsia="zh-CN"/>
        </w:rPr>
        <w:t>南京中医药大学</w:t>
      </w:r>
      <w:r>
        <w:rPr>
          <w:rFonts w:hint="eastAsia" w:ascii="仿宋" w:hAnsi="仿宋" w:eastAsia="仿宋" w:cs="仿宋"/>
          <w:b/>
          <w:sz w:val="36"/>
          <w:szCs w:val="36"/>
          <w:u w:val="none"/>
          <w:lang w:val="en-US" w:eastAsia="zh-CN"/>
        </w:rPr>
        <w:t>泰州校区管理办公室</w:t>
      </w:r>
    </w:p>
    <w:p w14:paraId="4AE205F0">
      <w:pPr>
        <w:spacing w:line="700" w:lineRule="exact"/>
        <w:ind w:firstLine="0" w:firstLineChars="0"/>
        <w:jc w:val="center"/>
        <w:rPr>
          <w:rFonts w:hint="eastAsia" w:ascii="仿宋" w:hAnsi="仿宋" w:eastAsia="仿宋" w:cs="仿宋"/>
          <w:b/>
          <w:sz w:val="36"/>
          <w:szCs w:val="36"/>
          <w:u w:val="none"/>
        </w:rPr>
      </w:pPr>
      <w:r>
        <w:rPr>
          <w:rFonts w:hint="eastAsia" w:ascii="仿宋" w:hAnsi="仿宋" w:eastAsia="仿宋" w:cs="仿宋"/>
          <w:b/>
          <w:sz w:val="36"/>
          <w:szCs w:val="36"/>
          <w:u w:val="none"/>
          <w:lang w:eastAsia="zh-CN"/>
        </w:rPr>
        <w:t>二○二</w:t>
      </w:r>
      <w:r>
        <w:rPr>
          <w:rFonts w:hint="eastAsia" w:ascii="仿宋" w:hAnsi="仿宋" w:eastAsia="仿宋" w:cs="仿宋"/>
          <w:b/>
          <w:sz w:val="36"/>
          <w:szCs w:val="36"/>
          <w:u w:val="none"/>
          <w:lang w:val="en-US" w:eastAsia="zh-CN"/>
        </w:rPr>
        <w:t>五</w:t>
      </w:r>
      <w:r>
        <w:rPr>
          <w:rFonts w:hint="eastAsia" w:ascii="仿宋" w:hAnsi="仿宋" w:eastAsia="仿宋" w:cs="仿宋"/>
          <w:b/>
          <w:sz w:val="36"/>
          <w:szCs w:val="36"/>
          <w:u w:val="none"/>
          <w:lang w:eastAsia="zh-CN"/>
        </w:rPr>
        <w:t>年</w:t>
      </w:r>
      <w:r>
        <w:rPr>
          <w:rFonts w:hint="eastAsia" w:ascii="仿宋" w:hAnsi="仿宋" w:eastAsia="仿宋" w:cs="仿宋"/>
          <w:b/>
          <w:sz w:val="36"/>
          <w:szCs w:val="36"/>
          <w:u w:val="none"/>
          <w:lang w:val="en-US" w:eastAsia="zh-CN"/>
        </w:rPr>
        <w:t>十一</w:t>
      </w:r>
      <w:r>
        <w:rPr>
          <w:rFonts w:hint="eastAsia" w:ascii="仿宋" w:hAnsi="仿宋" w:eastAsia="仿宋" w:cs="仿宋"/>
          <w:b/>
          <w:sz w:val="36"/>
          <w:szCs w:val="36"/>
          <w:u w:val="none"/>
          <w:lang w:eastAsia="zh-CN"/>
        </w:rPr>
        <w:t>月</w:t>
      </w:r>
    </w:p>
    <w:p w14:paraId="38E0D837">
      <w:pPr>
        <w:spacing w:line="360" w:lineRule="exact"/>
        <w:ind w:left="0" w:firstLine="0"/>
        <w:jc w:val="both"/>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7C1087B9">
      <w:pPr>
        <w:pStyle w:val="2"/>
        <w:keepNext/>
        <w:keepLines/>
        <w:pageBreakBefore/>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w w:val="90"/>
          <w:sz w:val="44"/>
          <w:szCs w:val="44"/>
        </w:rPr>
      </w:pPr>
      <w:bookmarkStart w:id="0" w:name="_Toc30989"/>
      <w:bookmarkStart w:id="1" w:name="_Toc30495"/>
      <w:bookmarkStart w:id="2" w:name="_Toc1379"/>
      <w:bookmarkStart w:id="3" w:name="_Toc29823"/>
      <w:bookmarkStart w:id="4" w:name="_Toc9984"/>
      <w:bookmarkStart w:id="5" w:name="_Toc22246"/>
      <w:r>
        <w:rPr>
          <w:rFonts w:hint="eastAsia" w:ascii="仿宋" w:hAnsi="仿宋" w:eastAsia="仿宋" w:cs="仿宋"/>
          <w:sz w:val="44"/>
          <w:szCs w:val="44"/>
        </w:rPr>
        <w:t>第</w:t>
      </w:r>
      <w:r>
        <w:rPr>
          <w:rFonts w:hint="eastAsia" w:ascii="仿宋" w:hAnsi="仿宋" w:eastAsia="仿宋" w:cs="仿宋"/>
          <w:sz w:val="44"/>
          <w:szCs w:val="44"/>
          <w:lang w:eastAsia="zh-CN"/>
        </w:rPr>
        <w:t>一</w:t>
      </w:r>
      <w:r>
        <w:rPr>
          <w:rFonts w:hint="eastAsia" w:ascii="仿宋" w:hAnsi="仿宋" w:eastAsia="仿宋" w:cs="仿宋"/>
          <w:sz w:val="44"/>
          <w:szCs w:val="44"/>
        </w:rPr>
        <w:t>章</w:t>
      </w:r>
      <w:r>
        <w:rPr>
          <w:rFonts w:hint="eastAsia" w:ascii="仿宋" w:hAnsi="仿宋" w:eastAsia="仿宋" w:cs="仿宋"/>
          <w:sz w:val="44"/>
          <w:szCs w:val="44"/>
          <w:lang w:val="en-US" w:eastAsia="zh-CN"/>
        </w:rPr>
        <w:t xml:space="preserve"> </w:t>
      </w:r>
      <w:r>
        <w:rPr>
          <w:rFonts w:hint="eastAsia" w:ascii="仿宋" w:hAnsi="仿宋" w:eastAsia="仿宋" w:cs="仿宋"/>
          <w:color w:val="000000"/>
          <w:w w:val="90"/>
          <w:sz w:val="44"/>
          <w:szCs w:val="44"/>
        </w:rPr>
        <w:t>遴选公告</w:t>
      </w:r>
      <w:bookmarkEnd w:id="0"/>
      <w:bookmarkEnd w:id="1"/>
      <w:bookmarkEnd w:id="2"/>
      <w:bookmarkEnd w:id="3"/>
      <w:bookmarkEnd w:id="4"/>
      <w:bookmarkEnd w:id="5"/>
    </w:p>
    <w:p w14:paraId="75253159">
      <w:pPr>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rPr>
      </w:pPr>
      <w:r>
        <w:rPr>
          <w:rFonts w:hint="eastAsia" w:ascii="仿宋" w:hAnsi="仿宋" w:eastAsia="仿宋" w:cs="仿宋"/>
          <w:b/>
          <w:sz w:val="24"/>
          <w:szCs w:val="24"/>
        </w:rPr>
        <w:t>（编号：</w:t>
      </w:r>
      <w:r>
        <w:rPr>
          <w:rFonts w:hint="eastAsia" w:ascii="仿宋" w:hAnsi="仿宋" w:eastAsia="仿宋" w:cs="仿宋"/>
          <w:b/>
          <w:sz w:val="24"/>
          <w:szCs w:val="24"/>
          <w:highlight w:val="none"/>
          <w:lang w:val="en-US" w:eastAsia="zh-CN"/>
        </w:rPr>
        <w:t>2025TZXQ-BWLX02</w:t>
      </w:r>
      <w:r>
        <w:rPr>
          <w:rFonts w:hint="eastAsia" w:ascii="仿宋" w:hAnsi="仿宋" w:eastAsia="仿宋" w:cs="仿宋"/>
          <w:b/>
          <w:sz w:val="24"/>
          <w:szCs w:val="24"/>
        </w:rPr>
        <w:t>）</w:t>
      </w:r>
    </w:p>
    <w:p w14:paraId="78DA8F85">
      <w:pPr>
        <w:spacing w:line="420" w:lineRule="exact"/>
        <w:ind w:left="-283" w:leftChars="-135" w:right="-380" w:rightChars="-181" w:firstLine="590" w:firstLineChars="246"/>
        <w:rPr>
          <w:rFonts w:hint="eastAsia" w:ascii="仿宋" w:hAnsi="仿宋" w:eastAsia="仿宋" w:cs="仿宋"/>
          <w:sz w:val="24"/>
          <w:szCs w:val="24"/>
          <w:lang w:eastAsia="zh-CN"/>
        </w:rPr>
      </w:pPr>
      <w:r>
        <w:rPr>
          <w:rFonts w:hint="eastAsia" w:ascii="仿宋" w:hAnsi="仿宋" w:eastAsia="仿宋" w:cs="仿宋"/>
          <w:sz w:val="24"/>
        </w:rPr>
        <w:t>南京中医药大学</w:t>
      </w:r>
      <w:r>
        <w:rPr>
          <w:rFonts w:hint="eastAsia" w:ascii="仿宋" w:hAnsi="仿宋" w:eastAsia="仿宋" w:cs="仿宋"/>
          <w:sz w:val="24"/>
          <w:lang w:val="en-US" w:eastAsia="zh-CN"/>
        </w:rPr>
        <w:t>泰州校区</w:t>
      </w:r>
      <w:r>
        <w:rPr>
          <w:rFonts w:hint="eastAsia" w:ascii="仿宋" w:hAnsi="仿宋" w:eastAsia="仿宋" w:cs="仿宋"/>
          <w:sz w:val="24"/>
        </w:rPr>
        <w:t>现就智慧门禁（人脸识别）管理系统维保服务进行公开遴选，为了维护双方的合法权益，使整个采购工作诚信、公平、公正，确保项目建设质量，现将具体采购事宜告知如下：</w:t>
      </w:r>
    </w:p>
    <w:p w14:paraId="6F1A25C3">
      <w:pPr>
        <w:spacing w:line="42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一．</w:t>
      </w:r>
      <w:r>
        <w:rPr>
          <w:rFonts w:hint="eastAsia" w:ascii="仿宋" w:hAnsi="仿宋" w:eastAsia="仿宋" w:cs="仿宋"/>
          <w:b/>
          <w:bCs/>
          <w:sz w:val="24"/>
          <w:szCs w:val="24"/>
          <w:lang w:val="en-US" w:eastAsia="zh-CN"/>
        </w:rPr>
        <w:t>采购内容</w:t>
      </w:r>
      <w:r>
        <w:rPr>
          <w:rFonts w:hint="eastAsia" w:ascii="仿宋" w:hAnsi="仿宋" w:eastAsia="仿宋" w:cs="仿宋"/>
          <w:b/>
          <w:bCs/>
          <w:sz w:val="24"/>
          <w:szCs w:val="24"/>
        </w:rPr>
        <w:t>：</w:t>
      </w:r>
    </w:p>
    <w:p w14:paraId="7EF7A4D6">
      <w:pPr>
        <w:numPr>
          <w:ilvl w:val="0"/>
          <w:numId w:val="1"/>
        </w:numPr>
        <w:spacing w:line="420" w:lineRule="exact"/>
        <w:ind w:left="0" w:leftChars="0" w:right="-380" w:rightChars="-181"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项目名称：南京中医药大学</w:t>
      </w:r>
      <w:r>
        <w:rPr>
          <w:rFonts w:hint="eastAsia" w:ascii="仿宋" w:hAnsi="仿宋" w:eastAsia="仿宋" w:cs="仿宋"/>
          <w:sz w:val="24"/>
          <w:szCs w:val="24"/>
          <w:highlight w:val="none"/>
          <w:lang w:val="en-US" w:eastAsia="zh-CN"/>
        </w:rPr>
        <w:t>泰州校区</w:t>
      </w:r>
      <w:r>
        <w:rPr>
          <w:rFonts w:hint="eastAsia" w:ascii="仿宋" w:hAnsi="仿宋" w:eastAsia="仿宋" w:cs="仿宋"/>
          <w:sz w:val="24"/>
          <w:szCs w:val="24"/>
          <w:highlight w:val="none"/>
        </w:rPr>
        <w:t>泰州校区智慧门禁（人脸识别）管理系统维保服务项目</w:t>
      </w:r>
      <w:r>
        <w:rPr>
          <w:rFonts w:hint="eastAsia" w:ascii="仿宋" w:hAnsi="仿宋" w:eastAsia="仿宋" w:cs="仿宋"/>
          <w:sz w:val="24"/>
          <w:szCs w:val="24"/>
          <w:highlight w:val="none"/>
          <w:lang w:eastAsia="zh-CN"/>
        </w:rPr>
        <w:t>。</w:t>
      </w:r>
    </w:p>
    <w:p w14:paraId="483D843B">
      <w:pPr>
        <w:numPr>
          <w:ilvl w:val="0"/>
          <w:numId w:val="1"/>
        </w:numPr>
        <w:spacing w:line="420" w:lineRule="exact"/>
        <w:ind w:left="0" w:leftChars="0" w:right="-380" w:rightChars="-181" w:firstLine="480" w:firstLineChars="200"/>
        <w:rPr>
          <w:rFonts w:hint="eastAsia" w:ascii="仿宋" w:hAnsi="仿宋" w:eastAsia="仿宋" w:cs="仿宋"/>
          <w:sz w:val="24"/>
          <w:lang w:val="en-US" w:eastAsia="zh-CN"/>
        </w:rPr>
      </w:pPr>
      <w:r>
        <w:rPr>
          <w:rFonts w:hint="eastAsia" w:ascii="仿宋" w:hAnsi="仿宋" w:eastAsia="仿宋" w:cs="仿宋"/>
          <w:sz w:val="24"/>
          <w:szCs w:val="24"/>
        </w:rPr>
        <w:t>服务时间</w:t>
      </w:r>
      <w:r>
        <w:rPr>
          <w:rFonts w:hint="eastAsia" w:ascii="仿宋" w:hAnsi="仿宋" w:eastAsia="仿宋" w:cs="仿宋"/>
          <w:sz w:val="24"/>
          <w:szCs w:val="24"/>
          <w:highlight w:val="none"/>
          <w:lang w:val="en-US" w:eastAsia="zh-CN"/>
        </w:rPr>
        <w:t>：</w:t>
      </w:r>
      <w:r>
        <w:rPr>
          <w:rFonts w:hint="eastAsia" w:ascii="仿宋" w:hAnsi="仿宋" w:eastAsia="仿宋" w:cs="仿宋"/>
          <w:sz w:val="24"/>
        </w:rPr>
        <w:t>全年周一至周</w:t>
      </w:r>
      <w:r>
        <w:rPr>
          <w:rFonts w:hint="eastAsia" w:ascii="仿宋" w:hAnsi="仿宋" w:eastAsia="仿宋" w:cs="仿宋"/>
          <w:sz w:val="24"/>
          <w:lang w:val="en-US" w:eastAsia="zh-CN"/>
        </w:rPr>
        <w:t>五</w:t>
      </w:r>
      <w:r>
        <w:rPr>
          <w:rFonts w:hint="eastAsia" w:ascii="仿宋" w:hAnsi="仿宋" w:eastAsia="仿宋" w:cs="仿宋"/>
          <w:sz w:val="24"/>
        </w:rPr>
        <w:t>9:00-17:30（</w:t>
      </w:r>
      <w:r>
        <w:rPr>
          <w:rFonts w:hint="eastAsia" w:ascii="仿宋" w:hAnsi="仿宋" w:eastAsia="仿宋" w:cs="仿宋"/>
          <w:sz w:val="24"/>
          <w:lang w:val="en-US" w:eastAsia="zh-CN"/>
        </w:rPr>
        <w:t>节假日</w:t>
      </w:r>
      <w:r>
        <w:rPr>
          <w:rFonts w:hint="eastAsia" w:ascii="仿宋" w:hAnsi="仿宋" w:eastAsia="仿宋" w:cs="仿宋"/>
          <w:sz w:val="24"/>
        </w:rPr>
        <w:t>除外），其他时间可不安排驻场但需提供响应服务</w:t>
      </w:r>
      <w:r>
        <w:rPr>
          <w:rFonts w:hint="eastAsia" w:ascii="仿宋" w:hAnsi="仿宋" w:eastAsia="仿宋" w:cs="仿宋"/>
          <w:sz w:val="24"/>
          <w:lang w:eastAsia="zh-CN"/>
        </w:rPr>
        <w:t>。</w:t>
      </w:r>
    </w:p>
    <w:p w14:paraId="0A24D967">
      <w:pPr>
        <w:numPr>
          <w:ilvl w:val="0"/>
          <w:numId w:val="1"/>
        </w:numPr>
        <w:spacing w:line="420" w:lineRule="exact"/>
        <w:ind w:left="0" w:leftChars="0" w:right="-380" w:rightChars="-181"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服务期限和预算：本项目服务期为三年</w:t>
      </w:r>
      <w:r>
        <w:rPr>
          <w:rFonts w:hint="eastAsia" w:ascii="仿宋" w:hAnsi="仿宋" w:eastAsia="仿宋" w:cs="仿宋"/>
          <w:sz w:val="24"/>
          <w:szCs w:val="24"/>
        </w:rPr>
        <w:t>。</w:t>
      </w:r>
      <w:r>
        <w:rPr>
          <w:rFonts w:hint="eastAsia" w:ascii="仿宋" w:hAnsi="仿宋" w:eastAsia="仿宋" w:cs="仿宋"/>
          <w:sz w:val="24"/>
          <w:szCs w:val="24"/>
          <w:lang w:val="en-US" w:eastAsia="zh-CN"/>
        </w:rPr>
        <w:t>  预算金额人民币：15万/三年 。</w:t>
      </w:r>
    </w:p>
    <w:p w14:paraId="206DF898">
      <w:pPr>
        <w:numPr>
          <w:ilvl w:val="0"/>
          <w:numId w:val="1"/>
        </w:numPr>
        <w:spacing w:line="420" w:lineRule="exact"/>
        <w:ind w:left="0" w:leftChars="0" w:right="-380" w:rightChars="-181" w:firstLine="480" w:firstLineChars="200"/>
        <w:rPr>
          <w:rFonts w:hint="eastAsia" w:ascii="仿宋" w:hAnsi="仿宋" w:eastAsia="仿宋" w:cs="仿宋"/>
          <w:sz w:val="24"/>
          <w:szCs w:val="24"/>
        </w:rPr>
      </w:pPr>
      <w:r>
        <w:rPr>
          <w:rFonts w:hint="eastAsia" w:ascii="仿宋" w:hAnsi="仿宋" w:eastAsia="仿宋" w:cs="仿宋"/>
          <w:sz w:val="24"/>
          <w:szCs w:val="24"/>
        </w:rPr>
        <w:t>项目</w:t>
      </w:r>
      <w:r>
        <w:rPr>
          <w:rFonts w:hint="default" w:ascii="仿宋" w:hAnsi="仿宋" w:eastAsia="仿宋" w:cs="仿宋"/>
          <w:sz w:val="24"/>
          <w:szCs w:val="24"/>
        </w:rPr>
        <w:t>服务</w:t>
      </w:r>
      <w:r>
        <w:rPr>
          <w:rFonts w:hint="eastAsia" w:ascii="仿宋" w:hAnsi="仿宋" w:eastAsia="仿宋" w:cs="仿宋"/>
          <w:sz w:val="24"/>
          <w:szCs w:val="24"/>
        </w:rPr>
        <w:t>地点：</w:t>
      </w:r>
      <w:r>
        <w:rPr>
          <w:rFonts w:hint="eastAsia" w:ascii="仿宋" w:hAnsi="仿宋" w:eastAsia="仿宋" w:cs="仿宋"/>
          <w:color w:val="000000"/>
          <w:sz w:val="24"/>
          <w:szCs w:val="24"/>
          <w:highlight w:val="none"/>
        </w:rPr>
        <w:t>泰州市高新区匡</w:t>
      </w:r>
      <w:r>
        <w:rPr>
          <w:rFonts w:hint="eastAsia" w:ascii="仿宋" w:hAnsi="仿宋" w:eastAsia="仿宋" w:cs="仿宋"/>
          <w:color w:val="000000"/>
          <w:sz w:val="24"/>
          <w:szCs w:val="24"/>
          <w:highlight w:val="none"/>
          <w:lang w:eastAsia="zh-CN"/>
        </w:rPr>
        <w:t>时</w:t>
      </w:r>
      <w:r>
        <w:rPr>
          <w:rFonts w:hint="eastAsia" w:ascii="仿宋" w:hAnsi="仿宋" w:eastAsia="仿宋" w:cs="仿宋"/>
          <w:color w:val="000000"/>
          <w:sz w:val="24"/>
          <w:szCs w:val="24"/>
          <w:highlight w:val="none"/>
        </w:rPr>
        <w:t>路6号</w:t>
      </w:r>
      <w:r>
        <w:rPr>
          <w:rFonts w:hint="eastAsia" w:ascii="仿宋" w:hAnsi="仿宋" w:eastAsia="仿宋" w:cs="仿宋"/>
          <w:color w:val="000000"/>
          <w:sz w:val="24"/>
          <w:szCs w:val="24"/>
          <w:highlight w:val="none"/>
          <w:lang w:eastAsia="zh-CN"/>
        </w:rPr>
        <w:t>。</w:t>
      </w:r>
    </w:p>
    <w:p w14:paraId="01F67757">
      <w:pPr>
        <w:numPr>
          <w:ilvl w:val="0"/>
          <w:numId w:val="1"/>
        </w:numPr>
        <w:spacing w:line="420" w:lineRule="exact"/>
        <w:ind w:left="0" w:leftChars="0" w:right="-380" w:rightChars="-181" w:firstLine="480" w:firstLineChars="200"/>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rPr>
        <w:t>服务</w:t>
      </w:r>
      <w:r>
        <w:rPr>
          <w:rFonts w:hint="eastAsia" w:ascii="仿宋" w:hAnsi="仿宋" w:eastAsia="仿宋" w:cs="仿宋"/>
          <w:color w:val="000000"/>
          <w:sz w:val="24"/>
          <w:szCs w:val="24"/>
          <w:lang w:val="en-US" w:eastAsia="zh-CN"/>
        </w:rPr>
        <w:t>内容</w:t>
      </w:r>
      <w:r>
        <w:rPr>
          <w:rFonts w:hint="eastAsia" w:ascii="仿宋" w:hAnsi="仿宋" w:eastAsia="仿宋" w:cs="仿宋"/>
          <w:color w:val="000000"/>
          <w:sz w:val="24"/>
          <w:szCs w:val="24"/>
        </w:rPr>
        <w:t>：具体详见采购</w:t>
      </w:r>
      <w:r>
        <w:rPr>
          <w:rFonts w:hint="eastAsia" w:ascii="仿宋" w:hAnsi="仿宋" w:eastAsia="仿宋" w:cs="仿宋"/>
          <w:color w:val="000000"/>
          <w:sz w:val="24"/>
          <w:szCs w:val="24"/>
          <w:lang w:val="en-US" w:eastAsia="zh-CN"/>
        </w:rPr>
        <w:t>需求。</w:t>
      </w:r>
    </w:p>
    <w:p w14:paraId="015EF458">
      <w:pPr>
        <w:spacing w:line="42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二、采购要求</w:t>
      </w:r>
    </w:p>
    <w:p w14:paraId="29F88432">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1.本文件中的采购人为</w:t>
      </w:r>
      <w:r>
        <w:rPr>
          <w:rFonts w:hint="eastAsia" w:ascii="仿宋" w:hAnsi="仿宋" w:eastAsia="仿宋" w:cs="仿宋"/>
          <w:sz w:val="24"/>
          <w:szCs w:val="24"/>
          <w:lang w:eastAsia="zh-CN"/>
        </w:rPr>
        <w:t>南京中医药大学</w:t>
      </w:r>
      <w:r>
        <w:rPr>
          <w:rFonts w:hint="eastAsia" w:ascii="仿宋" w:hAnsi="仿宋" w:eastAsia="仿宋" w:cs="仿宋"/>
          <w:b w:val="0"/>
          <w:bCs w:val="0"/>
          <w:color w:val="000000"/>
          <w:sz w:val="24"/>
          <w:szCs w:val="24"/>
        </w:rPr>
        <w:t>，亦称发包方；响应人系指相关标的物的承包人；成交人系指最后成交的响应人，亦称承包方。</w:t>
      </w:r>
    </w:p>
    <w:p w14:paraId="5DB7FB83">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2.无论采购结果如何，响应人应承担其报价文件编制与递交过程中所发生的一切费用。采购人对上述费用不予承担。如果不按遴选文件要求提交响应文件和资料，响应文件视为无效。 </w:t>
      </w:r>
    </w:p>
    <w:p w14:paraId="3314980B">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3.响应人应详阅遴选文件中的所有条款、格式、表格、条件及规范，如果不按遴选文件要求提交响应文件和资料，其风险由响应人自行承担，并根据有关条款规定，响应文件视为无效。</w:t>
      </w:r>
    </w:p>
    <w:p w14:paraId="7B758CD4">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4.响应人被视为充分熟悉本采购项目所在地的各种情况以及与履行合同有关一切其他情况，包括但不限于自然环境、气候条件、劳动力及公共设施等，本遴选文件不再对上述情况进行描述。</w:t>
      </w:r>
    </w:p>
    <w:p w14:paraId="45F65AA7">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5.报价文件中的价格为响应人所提供的最终价格，除非采购人提出要求，评审结束前响应人不得以任何形式提出对所报价格进行修改。</w:t>
      </w:r>
    </w:p>
    <w:p w14:paraId="6209B32C">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6.知识产权条款</w:t>
      </w:r>
    </w:p>
    <w:p w14:paraId="7F50AA77">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6.1 供应商保证所提供的产品/服务不侵犯第三方知识产权，如发生知识产权纠纷，由供应商承担全部法律责任并赔偿由此给采购人造成的损失。</w:t>
      </w:r>
    </w:p>
    <w:p w14:paraId="0F8C05DF">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6.2 本项目形成的技术成果（包括但不限于软件著作权）归采购人所有，供应商享有署名权。未经采购人书面同意，供应商不得以任何形式使用或向第三方披露相关技术成果。</w:t>
      </w:r>
    </w:p>
    <w:p w14:paraId="5A1E17D2">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6.3 供应商在履约过程中接触的学校数据、技术资料等信息，应承担永久保密义务。</w:t>
      </w:r>
    </w:p>
    <w:p w14:paraId="2AEA0E58">
      <w:pPr>
        <w:spacing w:line="420" w:lineRule="exact"/>
        <w:ind w:left="-283" w:leftChars="-135" w:right="-380" w:rightChars="-181" w:firstLine="593" w:firstLineChars="246"/>
        <w:jc w:val="left"/>
        <w:rPr>
          <w:rFonts w:hint="eastAsia" w:ascii="仿宋" w:hAnsi="仿宋" w:eastAsia="仿宋" w:cs="仿宋"/>
          <w:b/>
          <w:bCs/>
          <w:sz w:val="24"/>
          <w:szCs w:val="24"/>
        </w:rPr>
      </w:pPr>
      <w:r>
        <w:rPr>
          <w:rFonts w:hint="eastAsia" w:ascii="仿宋" w:hAnsi="仿宋" w:eastAsia="仿宋" w:cs="仿宋"/>
          <w:b/>
          <w:bCs/>
          <w:sz w:val="24"/>
          <w:szCs w:val="24"/>
        </w:rPr>
        <w:t>三、响应须知</w:t>
      </w:r>
    </w:p>
    <w:p w14:paraId="24162395">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1.响应人</w:t>
      </w:r>
      <w:r>
        <w:rPr>
          <w:rFonts w:hint="eastAsia" w:ascii="仿宋" w:hAnsi="仿宋" w:eastAsia="仿宋" w:cs="仿宋"/>
          <w:b w:val="0"/>
          <w:bCs w:val="0"/>
          <w:color w:val="000000"/>
          <w:sz w:val="24"/>
          <w:szCs w:val="24"/>
          <w:lang w:val="en-US" w:eastAsia="zh-CN"/>
        </w:rPr>
        <w:t>的资格要求</w:t>
      </w:r>
      <w:r>
        <w:rPr>
          <w:rFonts w:hint="eastAsia" w:ascii="仿宋" w:hAnsi="仿宋" w:eastAsia="仿宋" w:cs="仿宋"/>
          <w:b w:val="0"/>
          <w:bCs w:val="0"/>
          <w:color w:val="000000"/>
          <w:sz w:val="24"/>
          <w:szCs w:val="24"/>
        </w:rPr>
        <w:t>：</w:t>
      </w:r>
    </w:p>
    <w:p w14:paraId="2D04077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（1）应当具有企业独立法人资格，能独立承担民事责任，持有效营业执照。</w:t>
      </w:r>
    </w:p>
    <w:p w14:paraId="6CB834E5">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（2）具有履行合同所必需的人力配备和技术能力的书面声明。</w:t>
      </w:r>
    </w:p>
    <w:p w14:paraId="12679A4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（3）具有良好的商业信誉和健全的财务会计制度，提供近一年内的财务状况报告，至少包括资产负债表和利润表或上一年度审计报告。</w:t>
      </w:r>
    </w:p>
    <w:p w14:paraId="290E7BE1">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（4）有依法缴纳税收和社会保障资金的良好记录，提供参加本次采购活动前近半年内任一月份的依法缴纳税收和社会保障资金的银行缴款证明或税务部门出具的缴款证明。</w:t>
      </w:r>
    </w:p>
    <w:p w14:paraId="43904BF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（5）参加本次采购活动前3年内在经营活动中没有重大违法记录的书面声明。</w:t>
      </w:r>
    </w:p>
    <w:p w14:paraId="644AC35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（6）未被“信用中国”网站（www.creditchina.gov.cn）列入失信执行人、重大税收违法案件当事人名单</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政府采购严重违法失信行为记录名单，提供信用查询截图。</w:t>
      </w:r>
    </w:p>
    <w:p w14:paraId="7084185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2.该项目不接受联合体报价，不得转包、分包。</w:t>
      </w:r>
    </w:p>
    <w:p w14:paraId="48BD24F3">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3.响应费用和遴选文件的约束力</w:t>
      </w:r>
    </w:p>
    <w:p w14:paraId="6E4F5226">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（1）响应人应承担其参加本采购活动自身所发生的费用。</w:t>
      </w:r>
    </w:p>
    <w:p w14:paraId="4F724AC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响应人一旦购买了本遴选文件并参加响应，即被认为接受了本遴选文件中所有条件和规定。响应人在响应文件中，任何对遴选文件中的条款未作全部响应或作了不利于采购人的保留或修改，又不在响应文件中的有关偏差表中特别声明的，成交后仍以遴选文件的规定为准。</w:t>
      </w:r>
    </w:p>
    <w:p w14:paraId="0D2DF155">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四、响应文件的编制</w:t>
      </w:r>
    </w:p>
    <w:p w14:paraId="1FBBD50F">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1.响应文件的语言及度量衡单位</w:t>
      </w:r>
    </w:p>
    <w:p w14:paraId="492AFA52">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（1）响应文件和与响应有关的所有文件均应使用简体中文；</w:t>
      </w:r>
    </w:p>
    <w:p w14:paraId="6248E384">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（2）除另有规定外，响应文件使用的度量衡单位，均采用中华人民共和国法定计量单位。</w:t>
      </w:r>
    </w:p>
    <w:p w14:paraId="443AB0A8">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2.响应文件的组成</w:t>
      </w:r>
    </w:p>
    <w:p w14:paraId="4B52C0BC">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响应文件由商务和技术两部分组成。</w:t>
      </w:r>
    </w:p>
    <w:p w14:paraId="129A2F08">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2.1商务部分包括但不限于下列文件，其中加★项目为实质性要求</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不得有缺失或无效：</w:t>
      </w:r>
    </w:p>
    <w:p w14:paraId="5DDBD5DC">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（1）★报价函；</w:t>
      </w:r>
    </w:p>
    <w:p w14:paraId="5423AC52">
      <w:pPr>
        <w:pStyle w:val="10"/>
        <w:ind w:left="0" w:leftChars="0" w:firstLine="240" w:firstLineChars="10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sz w:val="24"/>
          <w:szCs w:val="24"/>
          <w:highlight w:val="none"/>
        </w:rPr>
        <w:t>（2）★</w:t>
      </w:r>
      <w:r>
        <w:rPr>
          <w:rFonts w:hint="eastAsia" w:ascii="仿宋" w:hAnsi="仿宋" w:eastAsia="仿宋" w:cs="仿宋"/>
          <w:b w:val="0"/>
          <w:bCs w:val="0"/>
          <w:color w:val="000000"/>
          <w:kern w:val="2"/>
          <w:sz w:val="24"/>
          <w:szCs w:val="24"/>
          <w:highlight w:val="none"/>
          <w:lang w:val="en-US" w:eastAsia="zh-CN" w:bidi="ar-SA"/>
        </w:rPr>
        <w:t>法定代表人资格证明书</w:t>
      </w:r>
    </w:p>
    <w:p w14:paraId="4C129A90">
      <w:pPr>
        <w:ind w:firstLine="240" w:firstLineChars="1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授权委托书</w:t>
      </w:r>
    </w:p>
    <w:p w14:paraId="0645EE52">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）★资格证明文件</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响应人的资格要求</w:t>
      </w:r>
      <w:r>
        <w:rPr>
          <w:rFonts w:hint="eastAsia" w:ascii="仿宋" w:hAnsi="仿宋" w:eastAsia="仿宋" w:cs="仿宋"/>
          <w:b w:val="0"/>
          <w:bCs w:val="0"/>
          <w:color w:val="000000"/>
          <w:sz w:val="24"/>
          <w:szCs w:val="24"/>
          <w:highlight w:val="none"/>
        </w:rPr>
        <w:t>证明</w:t>
      </w:r>
      <w:r>
        <w:rPr>
          <w:rFonts w:hint="eastAsia" w:ascii="仿宋" w:hAnsi="仿宋" w:eastAsia="仿宋" w:cs="仿宋"/>
          <w:b w:val="0"/>
          <w:bCs w:val="0"/>
          <w:color w:val="000000"/>
          <w:sz w:val="24"/>
          <w:szCs w:val="24"/>
          <w:highlight w:val="none"/>
          <w:lang w:val="en-US" w:eastAsia="zh-CN"/>
        </w:rPr>
        <w:t>材料</w:t>
      </w:r>
      <w:r>
        <w:rPr>
          <w:rFonts w:hint="eastAsia" w:ascii="仿宋" w:hAnsi="仿宋" w:eastAsia="仿宋" w:cs="仿宋"/>
          <w:b w:val="0"/>
          <w:bCs w:val="0"/>
          <w:color w:val="000000"/>
          <w:sz w:val="24"/>
          <w:szCs w:val="24"/>
          <w:highlight w:val="none"/>
          <w:lang w:eastAsia="zh-CN"/>
        </w:rPr>
        <w:t>）</w:t>
      </w:r>
    </w:p>
    <w:p w14:paraId="5244DC48">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5</w:t>
      </w:r>
      <w:r>
        <w:rPr>
          <w:rFonts w:hint="eastAsia" w:ascii="仿宋" w:hAnsi="仿宋" w:eastAsia="仿宋" w:cs="仿宋"/>
          <w:b w:val="0"/>
          <w:bCs w:val="0"/>
          <w:color w:val="000000"/>
          <w:sz w:val="24"/>
          <w:szCs w:val="24"/>
          <w:highlight w:val="none"/>
        </w:rPr>
        <w:t>）★报价一览表（币种为人民币）</w:t>
      </w:r>
    </w:p>
    <w:p w14:paraId="115A2003">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履约能力</w:t>
      </w:r>
      <w:r>
        <w:rPr>
          <w:rFonts w:hint="eastAsia" w:ascii="仿宋" w:hAnsi="仿宋" w:eastAsia="仿宋" w:cs="仿宋"/>
          <w:color w:val="auto"/>
          <w:sz w:val="24"/>
          <w:szCs w:val="24"/>
          <w:highlight w:val="none"/>
          <w:lang w:val="en-US" w:eastAsia="zh-CN"/>
        </w:rPr>
        <w:t>证明材料</w:t>
      </w:r>
    </w:p>
    <w:p w14:paraId="1B1F1D5B">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团队配置</w:t>
      </w:r>
      <w:r>
        <w:rPr>
          <w:rFonts w:hint="eastAsia" w:ascii="仿宋" w:hAnsi="仿宋" w:eastAsia="仿宋" w:cs="仿宋"/>
          <w:b w:val="0"/>
          <w:bCs w:val="0"/>
          <w:color w:val="000000"/>
          <w:sz w:val="24"/>
          <w:szCs w:val="24"/>
          <w:highlight w:val="none"/>
        </w:rPr>
        <w:t>一览表</w:t>
      </w:r>
    </w:p>
    <w:p w14:paraId="6B8794DA">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类似项目情况表</w:t>
      </w:r>
    </w:p>
    <w:p w14:paraId="1447F10F">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）★采购需求承诺函</w:t>
      </w:r>
    </w:p>
    <w:p w14:paraId="35EE600A">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rPr>
        <w:t>）★廉洁诚信承诺书。</w:t>
      </w:r>
    </w:p>
    <w:p w14:paraId="32FF98FA">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2.2技术部分主要包括以下内容（包括但不限于）</w:t>
      </w:r>
    </w:p>
    <w:p w14:paraId="39A5EB22">
      <w:pPr>
        <w:numPr>
          <w:ilvl w:val="0"/>
          <w:numId w:val="2"/>
        </w:numPr>
        <w:shd w:val="clear"/>
        <w:spacing w:line="420" w:lineRule="exact"/>
        <w:ind w:left="-283" w:leftChars="-135" w:right="-380" w:rightChars="-181" w:firstLine="590" w:firstLineChars="2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维护服务方案</w:t>
      </w:r>
    </w:p>
    <w:p w14:paraId="2FACDD87">
      <w:pPr>
        <w:numPr>
          <w:ilvl w:val="0"/>
          <w:numId w:val="2"/>
        </w:numPr>
        <w:shd w:val="clear"/>
        <w:spacing w:line="420" w:lineRule="exact"/>
        <w:ind w:left="-283" w:leftChars="-135" w:right="-380" w:rightChars="-181" w:firstLine="590" w:firstLineChars="246"/>
        <w:jc w:val="left"/>
        <w:rPr>
          <w:rFonts w:hint="eastAsia" w:ascii="仿宋" w:hAnsi="仿宋" w:eastAsia="仿宋" w:cs="仿宋"/>
          <w:color w:val="auto"/>
          <w:sz w:val="24"/>
          <w:szCs w:val="24"/>
          <w:highlight w:val="none"/>
        </w:rPr>
      </w:pPr>
      <w:r>
        <w:rPr>
          <w:rFonts w:hint="eastAsia" w:ascii="仿宋" w:hAnsi="仿宋" w:eastAsia="仿宋" w:cs="仿宋"/>
          <w:b w:val="0"/>
          <w:bCs w:val="0"/>
          <w:color w:val="000000"/>
          <w:sz w:val="24"/>
          <w:szCs w:val="24"/>
          <w:highlight w:val="none"/>
        </w:rPr>
        <w:t>响应人</w:t>
      </w:r>
      <w:r>
        <w:rPr>
          <w:rFonts w:hint="eastAsia" w:ascii="仿宋" w:hAnsi="仿宋" w:eastAsia="仿宋" w:cs="仿宋"/>
          <w:color w:val="auto"/>
          <w:sz w:val="24"/>
          <w:szCs w:val="24"/>
          <w:highlight w:val="none"/>
        </w:rPr>
        <w:t>认为需要提供的其他技术资料。</w:t>
      </w:r>
    </w:p>
    <w:p w14:paraId="12FADB54">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3.响应文件的份数及装订</w:t>
      </w:r>
    </w:p>
    <w:p w14:paraId="152E90A9">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（1）响应文件需打印或用不褪色墨水书写，并由响应人或经正式授权并对响应人有约束力的代表签字。</w:t>
      </w:r>
    </w:p>
    <w:p w14:paraId="3BA7B49D">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技术部分和商务部分（含报价函）按要求合并装订。正本一份，副本二份。报价文件需打印或用不褪色墨水书写，并由响应人或经正式授权并对响应人有约束力的代表签字,统一使用国际标准A4型(210×297mm)公文用纸制作。文件内应有“正本”和“副本”标志，如正本与副本有差异，以正本为准。</w:t>
      </w:r>
    </w:p>
    <w:p w14:paraId="7E55F4B6">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五、响应文件的递交</w:t>
      </w:r>
    </w:p>
    <w:p w14:paraId="0D3A4E90">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1.响应人应将投标响应文件装订并密封，密封最外层标明项目名称、响应人名称并加盖骑缝章。</w:t>
      </w:r>
    </w:p>
    <w:p w14:paraId="12802967">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2.响应文件在指定时间内送达采购人。</w:t>
      </w:r>
    </w:p>
    <w:p w14:paraId="6ACE2706">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3.截止日期：统</w:t>
      </w:r>
      <w:r>
        <w:rPr>
          <w:rFonts w:hint="eastAsia" w:ascii="仿宋" w:hAnsi="仿宋" w:eastAsia="仿宋" w:cs="仿宋"/>
          <w:b w:val="0"/>
          <w:bCs w:val="0"/>
          <w:sz w:val="24"/>
          <w:szCs w:val="24"/>
          <w:highlight w:val="none"/>
        </w:rPr>
        <w:t>一于2025年</w:t>
      </w:r>
      <w:r>
        <w:rPr>
          <w:rFonts w:hint="eastAsia" w:ascii="仿宋" w:hAnsi="仿宋" w:eastAsia="仿宋" w:cs="仿宋"/>
          <w:b w:val="0"/>
          <w:bCs w:val="0"/>
          <w:sz w:val="24"/>
          <w:szCs w:val="24"/>
          <w:highlight w:val="none"/>
          <w:lang w:val="en-US" w:eastAsia="zh-CN"/>
        </w:rPr>
        <w:t>11</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lang w:val="en-US" w:eastAsia="zh-CN"/>
        </w:rPr>
        <w:t>25</w:t>
      </w:r>
      <w:r>
        <w:rPr>
          <w:rFonts w:hint="eastAsia" w:ascii="仿宋" w:hAnsi="仿宋" w:eastAsia="仿宋" w:cs="仿宋"/>
          <w:b w:val="0"/>
          <w:bCs w:val="0"/>
          <w:sz w:val="24"/>
          <w:szCs w:val="24"/>
          <w:highlight w:val="none"/>
        </w:rPr>
        <w:t>日14时00分止（北京时间）前递交响应文件</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响应文件电子档发送至邮箱1348769096@qq.com。</w:t>
      </w:r>
    </w:p>
    <w:p w14:paraId="34B2FD07">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4.文件送达地点：</w:t>
      </w:r>
      <w:r>
        <w:rPr>
          <w:rFonts w:hint="eastAsia" w:ascii="仿宋" w:hAnsi="仿宋" w:eastAsia="仿宋" w:cs="仿宋"/>
          <w:b w:val="0"/>
          <w:bCs w:val="0"/>
          <w:sz w:val="24"/>
          <w:szCs w:val="24"/>
          <w:highlight w:val="none"/>
        </w:rPr>
        <w:t>泰州市中国医药城匡时路6号行政楼</w:t>
      </w:r>
      <w:r>
        <w:rPr>
          <w:rFonts w:hint="eastAsia" w:ascii="仿宋" w:hAnsi="仿宋" w:eastAsia="仿宋" w:cs="仿宋"/>
          <w:b w:val="0"/>
          <w:bCs w:val="0"/>
          <w:sz w:val="24"/>
          <w:szCs w:val="24"/>
          <w:highlight w:val="none"/>
          <w:lang w:val="en-US" w:eastAsia="zh-CN"/>
        </w:rPr>
        <w:t>301</w:t>
      </w:r>
      <w:r>
        <w:rPr>
          <w:rFonts w:hint="eastAsia" w:ascii="仿宋" w:hAnsi="仿宋" w:eastAsia="仿宋" w:cs="仿宋"/>
          <w:b w:val="0"/>
          <w:bCs w:val="0"/>
          <w:sz w:val="24"/>
          <w:szCs w:val="24"/>
          <w:highlight w:val="none"/>
        </w:rPr>
        <w:t>。</w:t>
      </w:r>
    </w:p>
    <w:p w14:paraId="6117F350">
      <w:pPr>
        <w:shd w:val="clear" w:color="auto" w:fill="FFFFFF"/>
        <w:spacing w:line="440" w:lineRule="exact"/>
        <w:ind w:left="-283" w:leftChars="-135" w:right="-380" w:rightChars="-181" w:firstLine="590" w:firstLineChars="246"/>
        <w:rPr>
          <w:rFonts w:hint="eastAsia" w:ascii="仿宋" w:hAnsi="仿宋" w:eastAsia="仿宋" w:cs="仿宋"/>
          <w:b/>
          <w:bCs/>
          <w:sz w:val="24"/>
          <w:szCs w:val="24"/>
        </w:rPr>
      </w:pPr>
      <w:r>
        <w:rPr>
          <w:rFonts w:hint="eastAsia" w:ascii="仿宋" w:hAnsi="仿宋" w:eastAsia="仿宋" w:cs="仿宋"/>
          <w:b w:val="0"/>
          <w:bCs w:val="0"/>
          <w:sz w:val="24"/>
          <w:szCs w:val="24"/>
        </w:rPr>
        <w:t>5.联系方式：</w:t>
      </w:r>
      <w:r>
        <w:rPr>
          <w:rFonts w:hint="eastAsia" w:ascii="仿宋" w:hAnsi="仿宋" w:eastAsia="仿宋" w:cs="仿宋"/>
          <w:b w:val="0"/>
          <w:bCs w:val="0"/>
          <w:sz w:val="24"/>
          <w:szCs w:val="24"/>
          <w:highlight w:val="none"/>
        </w:rPr>
        <w:t>0523-80639069、</w:t>
      </w:r>
      <w:r>
        <w:rPr>
          <w:rFonts w:hint="eastAsia" w:ascii="宋体" w:hAnsi="宋体" w:eastAsia="宋体" w:cs="Times New Roman"/>
          <w:color w:val="000000"/>
          <w:kern w:val="2"/>
          <w:sz w:val="24"/>
          <w:szCs w:val="24"/>
          <w:lang w:val="en-US" w:eastAsia="zh-CN" w:bidi="ar-SA"/>
        </w:rPr>
        <w:t>13052999961</w:t>
      </w:r>
      <w:r>
        <w:rPr>
          <w:rFonts w:hint="eastAsia" w:ascii="仿宋" w:hAnsi="仿宋" w:eastAsia="仿宋" w:cs="仿宋"/>
          <w:b w:val="0"/>
          <w:bCs w:val="0"/>
          <w:sz w:val="24"/>
          <w:szCs w:val="24"/>
          <w:highlight w:val="none"/>
        </w:rPr>
        <w:t xml:space="preserve"> 吴老师、</w:t>
      </w:r>
      <w:r>
        <w:rPr>
          <w:rFonts w:hint="eastAsia" w:ascii="仿宋" w:hAnsi="仿宋" w:eastAsia="仿宋" w:cs="仿宋"/>
          <w:b w:val="0"/>
          <w:bCs w:val="0"/>
          <w:sz w:val="24"/>
          <w:szCs w:val="24"/>
          <w:highlight w:val="none"/>
          <w:lang w:val="en-US" w:eastAsia="zh-CN"/>
        </w:rPr>
        <w:t>陆</w:t>
      </w:r>
      <w:r>
        <w:rPr>
          <w:rFonts w:hint="eastAsia" w:ascii="仿宋" w:hAnsi="仿宋" w:eastAsia="仿宋" w:cs="仿宋"/>
          <w:b w:val="0"/>
          <w:bCs w:val="0"/>
          <w:sz w:val="24"/>
          <w:szCs w:val="24"/>
          <w:highlight w:val="none"/>
        </w:rPr>
        <w:t>老师</w:t>
      </w:r>
      <w:r>
        <w:rPr>
          <w:rFonts w:hint="eastAsia" w:ascii="仿宋" w:hAnsi="仿宋" w:eastAsia="仿宋" w:cs="仿宋"/>
          <w:b/>
          <w:bCs/>
          <w:sz w:val="24"/>
          <w:szCs w:val="24"/>
          <w:highlight w:val="none"/>
        </w:rPr>
        <w:t xml:space="preserve"> </w:t>
      </w:r>
    </w:p>
    <w:p w14:paraId="3F6308C2">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六、项目的评议</w:t>
      </w:r>
    </w:p>
    <w:p w14:paraId="55F40E63">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1.在响应文件递交截止时间内没有送达响应文件的，将不予接受响应文件；未按要求进行报价的响应文件，有与遴选文件要求不符的响应文件，在评议时作无效响应处理。</w:t>
      </w:r>
    </w:p>
    <w:p w14:paraId="5978ACC0">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2.在评议时，响应文件的关键内容字迹模糊、无法辨认的，如为资格条件或必须满足的项目需求的，将作无效响应处理。</w:t>
      </w:r>
    </w:p>
    <w:p w14:paraId="29FBB60B">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3.经评标组评议，响应价格明显背离实际或与遴选文件不符的响应文件在评审时将作无效响应处理。</w:t>
      </w:r>
    </w:p>
    <w:p w14:paraId="4EABE99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4.项目评审。</w:t>
      </w:r>
    </w:p>
    <w:p w14:paraId="47EC21C2">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项目采用经评审的最低投标价法。评标委员会对投标报价进行成本分析，投标人报价不得低于成本价。对报价明显低于其他投标人且可能影响履约的，应当要求其在评标现场合理的时间内提供书面说明，必要时提交相关证明材料；投标人不能证明其报价合理性的，评标委员会应当将其作为无效投标处理。</w:t>
      </w:r>
    </w:p>
    <w:p w14:paraId="4A333208">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同时，投标人须完全响应招标文件所列知识产权条款，包括但不限于提供知识产权合法性承诺</w:t>
      </w:r>
      <w:r>
        <w:rPr>
          <w:rFonts w:hint="eastAsia" w:ascii="仿宋" w:hAnsi="仿宋" w:eastAsia="仿宋" w:cs="仿宋"/>
          <w:b w:val="0"/>
          <w:bCs w:val="0"/>
          <w:sz w:val="24"/>
          <w:szCs w:val="24"/>
          <w:highlight w:val="none"/>
          <w:lang w:val="en-US" w:eastAsia="zh-CN"/>
        </w:rPr>
        <w:t>或</w:t>
      </w:r>
      <w:r>
        <w:rPr>
          <w:rFonts w:hint="eastAsia" w:ascii="仿宋" w:hAnsi="仿宋" w:eastAsia="仿宋" w:cs="仿宋"/>
          <w:b w:val="0"/>
          <w:bCs w:val="0"/>
          <w:sz w:val="24"/>
          <w:szCs w:val="24"/>
          <w:highlight w:val="none"/>
        </w:rPr>
        <w:t>证明文件。未实质性响应的，视为重大偏离，按无效投标处理。</w:t>
      </w:r>
    </w:p>
    <w:p w14:paraId="1EBEF548">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5.本项目设定最高限价：15万元/3年（含税），超过此限价的投标报价视为未对招标文件做出实质性响应，将按无效投标处理；本项目需进行二轮报价，二轮报价必须低于响应文件中的报价一览表。</w:t>
      </w:r>
    </w:p>
    <w:p w14:paraId="39222F0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6.评审小组确定最终评审结果并通知最终成交供应</w:t>
      </w:r>
      <w:r>
        <w:rPr>
          <w:rFonts w:hint="eastAsia" w:ascii="仿宋" w:hAnsi="仿宋" w:eastAsia="仿宋" w:cs="仿宋"/>
          <w:b w:val="0"/>
          <w:bCs w:val="0"/>
          <w:sz w:val="24"/>
          <w:szCs w:val="24"/>
          <w:highlight w:val="none"/>
        </w:rPr>
        <w:t>商。如第一中标候选人自动放弃中标或因不可抗力提出不能履行合同时，按照竞标排名顺延至下一家中标候选人。</w:t>
      </w:r>
    </w:p>
    <w:p w14:paraId="08BBF7F9">
      <w:pPr>
        <w:shd w:val="clear" w:color="auto" w:fill="FFFFFF"/>
        <w:spacing w:line="440" w:lineRule="exact"/>
        <w:ind w:left="-283" w:leftChars="-135" w:right="-380" w:rightChars="-181" w:firstLine="593" w:firstLineChars="246"/>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七、结算及付款方式 </w:t>
      </w:r>
    </w:p>
    <w:p w14:paraId="7407297F">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付款方式：合同签订后</w:t>
      </w:r>
      <w:r>
        <w:rPr>
          <w:rFonts w:hint="eastAsia" w:ascii="仿宋" w:hAnsi="仿宋" w:eastAsia="仿宋" w:cs="仿宋"/>
          <w:b w:val="0"/>
          <w:bCs w:val="0"/>
          <w:sz w:val="24"/>
          <w:szCs w:val="24"/>
          <w:lang w:val="en-US" w:eastAsia="zh-CN"/>
        </w:rPr>
        <w:t>六</w:t>
      </w:r>
      <w:r>
        <w:rPr>
          <w:rFonts w:hint="eastAsia" w:ascii="仿宋" w:hAnsi="仿宋" w:eastAsia="仿宋" w:cs="仿宋"/>
          <w:b w:val="0"/>
          <w:bCs w:val="0"/>
          <w:sz w:val="24"/>
          <w:szCs w:val="24"/>
        </w:rPr>
        <w:t>个月</w:t>
      </w:r>
      <w:r>
        <w:rPr>
          <w:rFonts w:hint="eastAsia" w:ascii="仿宋" w:hAnsi="仿宋" w:eastAsia="仿宋" w:cs="仿宋"/>
          <w:b w:val="0"/>
          <w:bCs w:val="0"/>
          <w:sz w:val="24"/>
          <w:szCs w:val="24"/>
          <w:lang w:val="en-US" w:eastAsia="zh-CN"/>
        </w:rPr>
        <w:t>内</w:t>
      </w:r>
      <w:r>
        <w:rPr>
          <w:rFonts w:hint="eastAsia" w:ascii="仿宋" w:hAnsi="仿宋" w:eastAsia="仿宋" w:cs="仿宋"/>
          <w:b w:val="0"/>
          <w:bCs w:val="0"/>
          <w:sz w:val="24"/>
          <w:szCs w:val="24"/>
        </w:rPr>
        <w:t>，支付至合同约定的年服务费的50%；合同签订满一年后，且运维服务正常运行无质量问题，凭甲方考核情况说明支付剩余尾款（即年服务费的50%）。</w:t>
      </w:r>
    </w:p>
    <w:p w14:paraId="7060B8C4">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八、质疑处理</w:t>
      </w:r>
    </w:p>
    <w:p w14:paraId="2794B7FF">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1.参加采购供应商认为采购过程和采购结果使自己的权益受到损害的，可以从采购结果公布结束之日起五个工作日内，以书面形式向南京中医药大学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管理办公室提出质疑。非书面形式五个工作日之外提交以及匿名的质疑将不予受理 。</w:t>
      </w:r>
    </w:p>
    <w:p w14:paraId="12FFF8C4">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质疑必须以参加采购供应商法定代表人或授权代表（遴选文件中所确定的）现场送达的方式提交，未按上述要求提交的质疑函（含传真、电子邮件等）以及质疑函中未包括质疑内容及相应的证明材料等情况，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管理办公室将不予受理。</w:t>
      </w:r>
    </w:p>
    <w:p w14:paraId="5635989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3.未参加采购的供应商或在采购活动中本身权益未受到损害或从采购活动中收益的供应商所提出的质疑不予受理。</w:t>
      </w:r>
    </w:p>
    <w:p w14:paraId="1DDE932A">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4.南京中医药大学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管理办公室将在收到采购供应商的书面质疑后三个工作日内作出答复，并以书面形式通知质疑供应商，但答复的内容不得涉及商业秘密。</w:t>
      </w:r>
    </w:p>
    <w:p w14:paraId="541F6611">
      <w:pPr>
        <w:shd w:val="clear" w:color="auto" w:fill="FFFFFF"/>
        <w:spacing w:line="440" w:lineRule="exact"/>
        <w:ind w:left="-283" w:leftChars="-135" w:right="-380" w:rightChars="-181" w:firstLine="590" w:firstLineChars="246"/>
        <w:rPr>
          <w:rFonts w:hint="eastAsia" w:ascii="仿宋" w:hAnsi="仿宋" w:eastAsia="仿宋" w:cs="仿宋"/>
          <w:color w:val="000000"/>
          <w:sz w:val="24"/>
          <w:szCs w:val="24"/>
        </w:rPr>
      </w:pPr>
      <w:r>
        <w:rPr>
          <w:rFonts w:hint="eastAsia" w:ascii="仿宋" w:hAnsi="仿宋" w:eastAsia="仿宋" w:cs="仿宋"/>
          <w:b w:val="0"/>
          <w:bCs w:val="0"/>
          <w:sz w:val="24"/>
          <w:szCs w:val="24"/>
        </w:rPr>
        <w:t>5.采购人提出书面质疑必须有理、有据，不得恶意质疑或提交虚假质疑。否则，一经查实，南京中医药大学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管理办公室有权依据政府采购的有关规定，报请政府采购监管部门对该采购人进行相应的行政处罚。</w:t>
      </w:r>
    </w:p>
    <w:p w14:paraId="42C99615">
      <w:pPr>
        <w:keepNext w:val="0"/>
        <w:keepLines w:val="0"/>
        <w:widowControl w:val="0"/>
        <w:suppressLineNumbers w:val="0"/>
        <w:spacing w:before="0" w:beforeAutospacing="0" w:after="0" w:afterAutospacing="0" w:line="420" w:lineRule="exact"/>
        <w:ind w:left="0" w:right="-380" w:rightChars="-181"/>
        <w:jc w:val="right"/>
        <w:rPr>
          <w:rFonts w:hint="default" w:ascii="仿宋" w:hAnsi="仿宋" w:eastAsia="仿宋" w:cs="仿宋"/>
          <w:color w:val="000000"/>
          <w:kern w:val="2"/>
          <w:sz w:val="24"/>
          <w:szCs w:val="24"/>
          <w:lang w:val="en-US" w:eastAsia="zh-CN" w:bidi="ar"/>
        </w:rPr>
      </w:pPr>
      <w:r>
        <w:rPr>
          <w:rFonts w:hint="default" w:ascii="仿宋" w:hAnsi="仿宋" w:eastAsia="仿宋" w:cs="仿宋"/>
          <w:color w:val="000000"/>
          <w:sz w:val="24"/>
          <w:szCs w:val="24"/>
        </w:rPr>
        <w:t xml:space="preserve">                                       </w:t>
      </w:r>
      <w:bookmarkStart w:id="87" w:name="_GoBack"/>
      <w:r>
        <w:rPr>
          <w:rFonts w:hint="default" w:ascii="仿宋" w:hAnsi="仿宋" w:eastAsia="仿宋" w:cs="仿宋"/>
          <w:color w:val="000000"/>
          <w:kern w:val="2"/>
          <w:sz w:val="24"/>
          <w:szCs w:val="24"/>
          <w:lang w:val="en-US" w:eastAsia="zh-CN" w:bidi="ar"/>
        </w:rPr>
        <w:t>南京中医药大学</w:t>
      </w:r>
      <w:r>
        <w:rPr>
          <w:rFonts w:hint="eastAsia" w:ascii="仿宋" w:hAnsi="仿宋" w:eastAsia="仿宋" w:cs="仿宋"/>
          <w:color w:val="000000"/>
          <w:kern w:val="2"/>
          <w:sz w:val="24"/>
          <w:szCs w:val="24"/>
          <w:lang w:val="en-US" w:eastAsia="zh-CN" w:bidi="ar"/>
        </w:rPr>
        <w:t>泰州校区管理办公室</w:t>
      </w:r>
    </w:p>
    <w:p w14:paraId="71769756">
      <w:pPr>
        <w:keepNext w:val="0"/>
        <w:keepLines w:val="0"/>
        <w:widowControl w:val="0"/>
        <w:suppressLineNumbers w:val="0"/>
        <w:spacing w:before="0" w:beforeAutospacing="0" w:after="0" w:afterAutospacing="0" w:line="420" w:lineRule="exact"/>
        <w:ind w:left="0" w:right="-380" w:rightChars="-181" w:firstLine="6000" w:firstLineChars="2500"/>
        <w:jc w:val="both"/>
        <w:rPr>
          <w:rFonts w:hint="default" w:ascii="仿宋" w:hAnsi="仿宋" w:eastAsia="仿宋" w:cs="仿宋"/>
          <w:color w:val="000000"/>
          <w:kern w:val="2"/>
          <w:sz w:val="24"/>
          <w:szCs w:val="24"/>
          <w:highlight w:val="none"/>
        </w:rPr>
      </w:pPr>
      <w:r>
        <w:rPr>
          <w:rFonts w:hint="default" w:ascii="仿宋" w:hAnsi="仿宋" w:eastAsia="仿宋" w:cs="仿宋"/>
          <w:color w:val="000000"/>
          <w:kern w:val="2"/>
          <w:sz w:val="24"/>
          <w:szCs w:val="24"/>
          <w:highlight w:val="none"/>
          <w:lang w:val="en-US" w:eastAsia="zh-CN" w:bidi="ar"/>
        </w:rPr>
        <w:t>202</w:t>
      </w:r>
      <w:r>
        <w:rPr>
          <w:rFonts w:hint="eastAsia" w:ascii="仿宋" w:hAnsi="仿宋" w:eastAsia="仿宋" w:cs="仿宋"/>
          <w:color w:val="000000"/>
          <w:kern w:val="2"/>
          <w:sz w:val="24"/>
          <w:szCs w:val="24"/>
          <w:highlight w:val="none"/>
          <w:lang w:val="en-US" w:eastAsia="zh-CN" w:bidi="ar"/>
        </w:rPr>
        <w:t>5</w:t>
      </w:r>
      <w:r>
        <w:rPr>
          <w:rFonts w:hint="default" w:ascii="仿宋" w:hAnsi="仿宋" w:eastAsia="仿宋" w:cs="仿宋"/>
          <w:color w:val="000000"/>
          <w:kern w:val="2"/>
          <w:sz w:val="24"/>
          <w:szCs w:val="24"/>
          <w:highlight w:val="none"/>
          <w:lang w:val="en-US" w:eastAsia="zh-CN" w:bidi="ar"/>
        </w:rPr>
        <w:t>年</w:t>
      </w:r>
      <w:r>
        <w:rPr>
          <w:rFonts w:hint="eastAsia" w:ascii="仿宋" w:hAnsi="仿宋" w:eastAsia="仿宋" w:cs="仿宋"/>
          <w:color w:val="000000"/>
          <w:kern w:val="2"/>
          <w:sz w:val="24"/>
          <w:szCs w:val="24"/>
          <w:highlight w:val="none"/>
          <w:lang w:val="en-US" w:eastAsia="zh-CN" w:bidi="ar"/>
        </w:rPr>
        <w:t>11</w:t>
      </w:r>
      <w:r>
        <w:rPr>
          <w:rFonts w:hint="default" w:ascii="仿宋" w:hAnsi="仿宋" w:eastAsia="仿宋" w:cs="仿宋"/>
          <w:color w:val="000000"/>
          <w:kern w:val="2"/>
          <w:sz w:val="24"/>
          <w:szCs w:val="24"/>
          <w:highlight w:val="none"/>
          <w:lang w:val="en-US" w:eastAsia="zh-CN" w:bidi="ar"/>
        </w:rPr>
        <w:t>月</w:t>
      </w:r>
      <w:r>
        <w:rPr>
          <w:rFonts w:hint="eastAsia" w:ascii="仿宋" w:hAnsi="仿宋" w:eastAsia="仿宋" w:cs="仿宋"/>
          <w:color w:val="000000"/>
          <w:kern w:val="2"/>
          <w:sz w:val="24"/>
          <w:szCs w:val="24"/>
          <w:highlight w:val="none"/>
          <w:lang w:val="en-US" w:eastAsia="zh-CN" w:bidi="ar"/>
        </w:rPr>
        <w:t>18</w:t>
      </w:r>
      <w:r>
        <w:rPr>
          <w:rFonts w:hint="default" w:ascii="仿宋" w:hAnsi="仿宋" w:eastAsia="仿宋" w:cs="仿宋"/>
          <w:color w:val="000000"/>
          <w:kern w:val="2"/>
          <w:sz w:val="24"/>
          <w:szCs w:val="24"/>
          <w:highlight w:val="none"/>
          <w:lang w:val="en-US" w:eastAsia="zh-CN" w:bidi="ar"/>
        </w:rPr>
        <w:t>日</w:t>
      </w:r>
    </w:p>
    <w:bookmarkEnd w:id="87"/>
    <w:p w14:paraId="04CF1DD4">
      <w:pPr>
        <w:shd w:val="clear"/>
        <w:spacing w:line="240" w:lineRule="auto"/>
        <w:ind w:firstLine="0" w:firstLineChars="0"/>
        <w:jc w:val="right"/>
        <w:rPr>
          <w:rFonts w:hint="default" w:ascii="仿宋" w:hAnsi="仿宋" w:eastAsia="仿宋" w:cs="仿宋"/>
          <w:color w:val="000000"/>
          <w:sz w:val="24"/>
          <w:szCs w:val="24"/>
        </w:rPr>
      </w:pPr>
      <w:r>
        <w:rPr>
          <w:rFonts w:hint="default" w:ascii="仿宋" w:hAnsi="仿宋" w:eastAsia="仿宋" w:cs="仿宋"/>
          <w:kern w:val="2"/>
          <w:sz w:val="21"/>
          <w:szCs w:val="21"/>
          <w:lang w:val="en-US" w:eastAsia="zh-CN" w:bidi="ar"/>
        </w:rPr>
        <w:t xml:space="preserve"> </w:t>
      </w:r>
    </w:p>
    <w:p w14:paraId="3448CC8A">
      <w:pPr>
        <w:pStyle w:val="2"/>
        <w:keepNext/>
        <w:keepLines/>
        <w:pageBreakBefore/>
        <w:widowControl w:val="0"/>
        <w:numPr>
          <w:ilvl w:val="0"/>
          <w:numId w:val="3"/>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w w:val="90"/>
          <w:sz w:val="44"/>
          <w:szCs w:val="44"/>
        </w:rPr>
      </w:pPr>
      <w:bookmarkStart w:id="6" w:name="_Toc25622"/>
      <w:bookmarkStart w:id="7" w:name="_Toc480200999"/>
      <w:bookmarkStart w:id="8" w:name="_Toc47415934"/>
      <w:bookmarkStart w:id="9" w:name="_Toc28306"/>
      <w:bookmarkStart w:id="10" w:name="_Toc22149"/>
      <w:bookmarkStart w:id="11" w:name="_Toc47261876"/>
      <w:bookmarkStart w:id="12" w:name="_Toc24447"/>
      <w:bookmarkStart w:id="13" w:name="_Toc47262060"/>
      <w:bookmarkStart w:id="14" w:name="_Toc47261681"/>
      <w:bookmarkStart w:id="15" w:name="_Toc47416188"/>
      <w:bookmarkStart w:id="16" w:name="_Toc8782"/>
      <w:bookmarkStart w:id="17" w:name="_Toc49019227"/>
      <w:bookmarkStart w:id="18" w:name="_Toc49019488"/>
      <w:bookmarkStart w:id="19" w:name="_Toc25506"/>
      <w:r>
        <w:rPr>
          <w:rFonts w:hint="eastAsia" w:ascii="仿宋" w:hAnsi="仿宋" w:eastAsia="仿宋" w:cs="仿宋"/>
          <w:color w:val="000000"/>
          <w:w w:val="90"/>
          <w:sz w:val="44"/>
          <w:szCs w:val="44"/>
          <w:lang w:val="en-US" w:eastAsia="zh-CN"/>
        </w:rPr>
        <w:t>采购</w:t>
      </w:r>
      <w:r>
        <w:rPr>
          <w:rFonts w:hint="eastAsia" w:ascii="仿宋" w:hAnsi="仿宋" w:eastAsia="仿宋" w:cs="仿宋"/>
          <w:color w:val="000000"/>
          <w:w w:val="90"/>
          <w:sz w:val="44"/>
          <w:szCs w:val="44"/>
        </w:rPr>
        <w:t>需求</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7D0F890D">
      <w:pPr>
        <w:spacing w:line="500" w:lineRule="exact"/>
        <w:rPr>
          <w:rFonts w:hint="eastAsia"/>
        </w:rPr>
      </w:pPr>
      <w:r>
        <w:rPr>
          <w:rFonts w:hint="eastAsia" w:ascii="仿宋" w:hAnsi="仿宋" w:eastAsia="仿宋" w:cs="仿宋"/>
          <w:b/>
          <w:bCs/>
          <w:highlight w:val="none"/>
        </w:rPr>
        <w:t>以下采购需求为最低要求，不接受负偏离，响应文件中提供响应全部要求的承诺函并加盖公章，承诺函格式详见附件，否则按无效标处理。</w:t>
      </w:r>
    </w:p>
    <w:p w14:paraId="03C9BF1E">
      <w:pPr>
        <w:numPr>
          <w:ilvl w:val="0"/>
          <w:numId w:val="0"/>
        </w:numPr>
        <w:rPr>
          <w:rFonts w:hint="eastAsia"/>
        </w:rPr>
      </w:pPr>
    </w:p>
    <w:p w14:paraId="39CE8DBF">
      <w:pPr>
        <w:numPr>
          <w:ilvl w:val="0"/>
          <w:numId w:val="4"/>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维护范围</w:t>
      </w:r>
    </w:p>
    <w:p w14:paraId="300DE5F2">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南京中医药大学</w:t>
      </w:r>
      <w:r>
        <w:rPr>
          <w:rFonts w:hint="eastAsia" w:ascii="仿宋" w:hAnsi="仿宋" w:eastAsia="仿宋" w:cs="仿宋"/>
          <w:color w:val="000000" w:themeColor="text1"/>
          <w:sz w:val="24"/>
          <w:highlight w:val="none"/>
          <w:lang w:val="en-US" w:eastAsia="zh-CN"/>
          <w14:textFill>
            <w14:solidFill>
              <w14:schemeClr w14:val="tx1"/>
            </w14:solidFill>
          </w14:textFill>
        </w:rPr>
        <w:t>泰州校区</w:t>
      </w:r>
      <w:r>
        <w:rPr>
          <w:rFonts w:hint="eastAsia" w:ascii="仿宋" w:hAnsi="仿宋" w:eastAsia="仿宋" w:cs="仿宋"/>
          <w:color w:val="000000" w:themeColor="text1"/>
          <w:sz w:val="24"/>
          <w:highlight w:val="none"/>
          <w14:textFill>
            <w14:solidFill>
              <w14:schemeClr w14:val="tx1"/>
            </w14:solidFill>
          </w14:textFill>
        </w:rPr>
        <w:t>东、北</w:t>
      </w:r>
      <w:r>
        <w:rPr>
          <w:rFonts w:hint="eastAsia" w:ascii="仿宋" w:hAnsi="仿宋" w:eastAsia="仿宋" w:cs="仿宋"/>
          <w:color w:val="000000" w:themeColor="text1"/>
          <w:sz w:val="24"/>
          <w:highlight w:val="none"/>
          <w:lang w:val="en-US" w:eastAsia="zh-CN"/>
          <w14:textFill>
            <w14:solidFill>
              <w14:schemeClr w14:val="tx1"/>
            </w14:solidFill>
          </w14:textFill>
        </w:rPr>
        <w:t>两</w:t>
      </w:r>
      <w:r>
        <w:rPr>
          <w:rFonts w:hint="eastAsia" w:ascii="仿宋" w:hAnsi="仿宋" w:eastAsia="仿宋" w:cs="仿宋"/>
          <w:color w:val="000000" w:themeColor="text1"/>
          <w:sz w:val="24"/>
          <w:highlight w:val="none"/>
          <w14:textFill>
            <w14:solidFill>
              <w14:schemeClr w14:val="tx1"/>
            </w14:solidFill>
          </w14:textFill>
        </w:rPr>
        <w:t>门，1-</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号8个</w:t>
      </w:r>
      <w:r>
        <w:rPr>
          <w:rFonts w:hint="eastAsia" w:ascii="仿宋" w:hAnsi="仿宋" w:eastAsia="仿宋" w:cs="仿宋"/>
          <w:color w:val="000000" w:themeColor="text1"/>
          <w:sz w:val="24"/>
          <w:highlight w:val="none"/>
          <w:lang w:val="en-US" w:eastAsia="zh-CN"/>
          <w14:textFill>
            <w14:solidFill>
              <w14:schemeClr w14:val="tx1"/>
            </w14:solidFill>
          </w14:textFill>
        </w:rPr>
        <w:t>宿管站共29组通道等全校范围内的所有信息点维护</w:t>
      </w:r>
      <w:r>
        <w:rPr>
          <w:rFonts w:hint="eastAsia" w:ascii="仿宋" w:hAnsi="仿宋" w:eastAsia="仿宋" w:cs="仿宋"/>
          <w:color w:val="000000" w:themeColor="text1"/>
          <w:sz w:val="24"/>
          <w:highlight w:val="none"/>
          <w14:textFill>
            <w14:solidFill>
              <w14:schemeClr w14:val="tx1"/>
            </w14:solidFill>
          </w14:textFill>
        </w:rPr>
        <w:t>，服务范围内的全体用户。维护范围包括</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硬件</w:t>
      </w:r>
      <w:r>
        <w:rPr>
          <w:rFonts w:hint="eastAsia" w:ascii="仿宋" w:hAnsi="仿宋" w:eastAsia="仿宋" w:cs="仿宋"/>
          <w:color w:val="000000" w:themeColor="text1"/>
          <w:sz w:val="24"/>
          <w:highlight w:val="none"/>
          <w14:textFill>
            <w14:solidFill>
              <w14:schemeClr w14:val="tx1"/>
            </w14:solidFill>
          </w14:textFill>
        </w:rPr>
        <w:t>核心至接入（含无线）的相关网络设备的运行维护</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面向用户的网络接入服务</w:t>
      </w:r>
      <w:r>
        <w:rPr>
          <w:rFonts w:hint="eastAsia" w:ascii="仿宋" w:hAnsi="仿宋" w:eastAsia="仿宋" w:cs="仿宋"/>
          <w:color w:val="000000" w:themeColor="text1"/>
          <w:sz w:val="24"/>
          <w:highlight w:val="none"/>
          <w:lang w:val="en-US" w:eastAsia="zh-CN"/>
          <w14:textFill>
            <w14:solidFill>
              <w14:schemeClr w14:val="tx1"/>
            </w14:solidFill>
          </w14:textFill>
        </w:rPr>
        <w:t>以及配合保卫处处理的其他相关事务</w:t>
      </w:r>
      <w:r>
        <w:rPr>
          <w:rFonts w:hint="eastAsia" w:ascii="仿宋" w:hAnsi="仿宋" w:eastAsia="仿宋" w:cs="仿宋"/>
          <w:color w:val="000000" w:themeColor="text1"/>
          <w:sz w:val="24"/>
          <w:highlight w:val="none"/>
          <w14:textFill>
            <w14:solidFill>
              <w14:schemeClr w14:val="tx1"/>
            </w14:solidFill>
          </w14:textFill>
        </w:rPr>
        <w:t>。</w:t>
      </w:r>
    </w:p>
    <w:p w14:paraId="57830A8A">
      <w:pPr>
        <w:numPr>
          <w:ilvl w:val="0"/>
          <w:numId w:val="4"/>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维保内容：</w:t>
      </w:r>
    </w:p>
    <w:p w14:paraId="19DD2F5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专人驻场服务，负责南京中医药大学</w:t>
      </w:r>
      <w:r>
        <w:rPr>
          <w:rFonts w:hint="eastAsia" w:ascii="仿宋" w:hAnsi="仿宋" w:eastAsia="仿宋" w:cs="仿宋"/>
          <w:color w:val="000000" w:themeColor="text1"/>
          <w:sz w:val="24"/>
          <w:highlight w:val="none"/>
          <w:lang w:val="en-US" w:eastAsia="zh-CN"/>
          <w14:textFill>
            <w14:solidFill>
              <w14:schemeClr w14:val="tx1"/>
            </w14:solidFill>
          </w14:textFill>
        </w:rPr>
        <w:t>泰州校区设备设施及</w:t>
      </w:r>
      <w:r>
        <w:rPr>
          <w:rFonts w:hint="eastAsia" w:ascii="仿宋" w:hAnsi="仿宋" w:eastAsia="仿宋" w:cs="仿宋"/>
          <w:color w:val="000000" w:themeColor="text1"/>
          <w:sz w:val="24"/>
          <w:highlight w:val="none"/>
          <w14:textFill>
            <w14:solidFill>
              <w14:schemeClr w14:val="tx1"/>
            </w14:solidFill>
          </w14:textFill>
        </w:rPr>
        <w:t>用户服务。保障校园智慧门禁（人脸识别）管理系统的正常运转，负责处理校园</w:t>
      </w:r>
      <w:r>
        <w:rPr>
          <w:rFonts w:hint="eastAsia" w:ascii="仿宋" w:hAnsi="仿宋" w:eastAsia="仿宋" w:cs="仿宋"/>
          <w:color w:val="000000" w:themeColor="text1"/>
          <w:sz w:val="24"/>
          <w:highlight w:val="none"/>
          <w:lang w:val="en-US" w:eastAsia="zh-CN"/>
          <w14:textFill>
            <w14:solidFill>
              <w14:schemeClr w14:val="tx1"/>
            </w14:solidFill>
          </w14:textFill>
        </w:rPr>
        <w:t>设施</w:t>
      </w:r>
      <w:r>
        <w:rPr>
          <w:rFonts w:hint="eastAsia" w:ascii="仿宋" w:hAnsi="仿宋" w:eastAsia="仿宋" w:cs="仿宋"/>
          <w:color w:val="000000" w:themeColor="text1"/>
          <w:sz w:val="24"/>
          <w:highlight w:val="none"/>
          <w14:textFill>
            <w14:solidFill>
              <w14:schemeClr w14:val="tx1"/>
            </w14:solidFill>
          </w14:textFill>
        </w:rPr>
        <w:t>与用户的业务报障及咨询服务。</w:t>
      </w:r>
    </w:p>
    <w:p w14:paraId="35ECBD3B">
      <w:pPr>
        <w:numPr>
          <w:ilvl w:val="0"/>
          <w:numId w:val="4"/>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主要内容：</w:t>
      </w:r>
    </w:p>
    <w:p w14:paraId="24687CCD">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维保</w:t>
      </w:r>
      <w:r>
        <w:rPr>
          <w:rFonts w:hint="eastAsia" w:ascii="仿宋" w:hAnsi="仿宋" w:eastAsia="仿宋" w:cs="仿宋"/>
          <w:color w:val="000000" w:themeColor="text1"/>
          <w:sz w:val="24"/>
          <w:highlight w:val="none"/>
          <w14:textFill>
            <w14:solidFill>
              <w14:schemeClr w14:val="tx1"/>
            </w14:solidFill>
          </w14:textFill>
        </w:rPr>
        <w:t>过程中需要更换设备和设备配件的，则</w:t>
      </w:r>
      <w:r>
        <w:rPr>
          <w:rFonts w:hint="eastAsia" w:ascii="仿宋" w:hAnsi="仿宋" w:eastAsia="仿宋" w:cs="仿宋"/>
          <w:color w:val="000000" w:themeColor="text1"/>
          <w:sz w:val="24"/>
          <w:highlight w:val="none"/>
          <w:lang w:val="en-US"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应向</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提供需更换设备和设备配件品牌、规格、型号以及价格等，经</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审核认可后，</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方可实施。如需更换的设备和设备配件价格在人民币200元内（即≦200元），则与更换相关的配件费、材料费、运输费、人工费、安装费、调试费等所有费用均由</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承担，即已包含在</w:t>
      </w:r>
      <w:r>
        <w:rPr>
          <w:rFonts w:hint="eastAsia" w:ascii="仿宋" w:hAnsi="仿宋" w:eastAsia="仿宋" w:cs="仿宋"/>
          <w:color w:val="000000" w:themeColor="text1"/>
          <w:sz w:val="24"/>
          <w:highlight w:val="none"/>
          <w:lang w:val="en-US" w:eastAsia="zh-CN"/>
          <w14:textFill>
            <w14:solidFill>
              <w14:schemeClr w14:val="tx1"/>
            </w14:solidFill>
          </w14:textFill>
        </w:rPr>
        <w:t>本合同总价</w:t>
      </w:r>
      <w:r>
        <w:rPr>
          <w:rFonts w:hint="eastAsia" w:ascii="仿宋" w:hAnsi="仿宋" w:eastAsia="仿宋" w:cs="仿宋"/>
          <w:color w:val="000000" w:themeColor="text1"/>
          <w:sz w:val="24"/>
          <w:highlight w:val="none"/>
          <w14:textFill>
            <w14:solidFill>
              <w14:schemeClr w14:val="tx1"/>
            </w14:solidFill>
          </w14:textFill>
        </w:rPr>
        <w:t>中。如需更换的设备和设备配件价格在人民币200元以上（即&gt;200元），则由</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指定代表签字确认后承担支付设备和设备配件费用，维修相关的人工费、安装费、调试费等则由</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承担，即已包含在</w:t>
      </w:r>
      <w:r>
        <w:rPr>
          <w:rFonts w:hint="eastAsia" w:ascii="仿宋" w:hAnsi="仿宋" w:eastAsia="仿宋" w:cs="仿宋"/>
          <w:color w:val="000000" w:themeColor="text1"/>
          <w:sz w:val="24"/>
          <w:highlight w:val="none"/>
          <w:lang w:val="en-US" w:eastAsia="zh-CN"/>
          <w14:textFill>
            <w14:solidFill>
              <w14:schemeClr w14:val="tx1"/>
            </w14:solidFill>
          </w14:textFill>
        </w:rPr>
        <w:t>本合同总价</w:t>
      </w:r>
      <w:r>
        <w:rPr>
          <w:rFonts w:hint="eastAsia" w:ascii="仿宋" w:hAnsi="仿宋" w:eastAsia="仿宋" w:cs="仿宋"/>
          <w:color w:val="000000" w:themeColor="text1"/>
          <w:sz w:val="24"/>
          <w:highlight w:val="none"/>
          <w14:textFill>
            <w14:solidFill>
              <w14:schemeClr w14:val="tx1"/>
            </w14:solidFill>
          </w14:textFill>
        </w:rPr>
        <w:t>中；</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仅承担经</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审核认可的维修费用。详细维保</w:t>
      </w:r>
      <w:r>
        <w:rPr>
          <w:rFonts w:hint="eastAsia" w:ascii="仿宋" w:hAnsi="仿宋" w:eastAsia="仿宋" w:cs="仿宋"/>
          <w:color w:val="000000" w:themeColor="text1"/>
          <w:sz w:val="24"/>
          <w:highlight w:val="none"/>
          <w:lang w:val="en-US" w:eastAsia="zh-CN"/>
          <w14:textFill>
            <w14:solidFill>
              <w14:schemeClr w14:val="tx1"/>
            </w14:solidFill>
          </w14:textFill>
        </w:rPr>
        <w:t>设备明细见</w:t>
      </w:r>
      <w:r>
        <w:rPr>
          <w:rFonts w:hint="eastAsia" w:ascii="仿宋" w:hAnsi="仿宋" w:eastAsia="仿宋" w:cs="仿宋"/>
          <w:b/>
          <w:bCs/>
          <w:color w:val="000000" w:themeColor="text1"/>
          <w:sz w:val="24"/>
          <w:highlight w:val="none"/>
          <w:lang w:val="en-US" w:eastAsia="zh-CN"/>
          <w14:textFill>
            <w14:solidFill>
              <w14:schemeClr w14:val="tx1"/>
            </w14:solidFill>
          </w14:textFill>
        </w:rPr>
        <w:t>附件1</w:t>
      </w:r>
      <w:r>
        <w:rPr>
          <w:rFonts w:hint="eastAsia" w:ascii="仿宋" w:hAnsi="仿宋" w:eastAsia="仿宋" w:cs="仿宋"/>
          <w:color w:val="000000" w:themeColor="text1"/>
          <w:sz w:val="24"/>
          <w:highlight w:val="none"/>
          <w:lang w:val="en-US" w:eastAsia="zh-CN"/>
          <w14:textFill>
            <w14:solidFill>
              <w14:schemeClr w14:val="tx1"/>
            </w14:solidFill>
          </w14:textFill>
        </w:rPr>
        <w:t>；具体维保</w:t>
      </w:r>
      <w:r>
        <w:rPr>
          <w:rFonts w:hint="eastAsia" w:ascii="仿宋" w:hAnsi="仿宋" w:eastAsia="仿宋" w:cs="仿宋"/>
          <w:color w:val="000000" w:themeColor="text1"/>
          <w:sz w:val="24"/>
          <w:highlight w:val="none"/>
          <w14:textFill>
            <w14:solidFill>
              <w14:schemeClr w14:val="tx1"/>
            </w14:solidFill>
          </w14:textFill>
        </w:rPr>
        <w:t>服务要求</w:t>
      </w:r>
      <w:r>
        <w:rPr>
          <w:rFonts w:hint="eastAsia" w:ascii="仿宋" w:hAnsi="仿宋" w:eastAsia="仿宋" w:cs="仿宋"/>
          <w:color w:val="000000" w:themeColor="text1"/>
          <w:sz w:val="24"/>
          <w:highlight w:val="none"/>
          <w:lang w:eastAsia="zh-CN"/>
          <w14:textFill>
            <w14:solidFill>
              <w14:schemeClr w14:val="tx1"/>
            </w14:solidFill>
          </w14:textFill>
        </w:rPr>
        <w:t>和</w:t>
      </w:r>
      <w:r>
        <w:rPr>
          <w:rFonts w:hint="eastAsia" w:ascii="仿宋" w:hAnsi="仿宋" w:eastAsia="仿宋" w:cs="仿宋"/>
          <w:color w:val="000000" w:themeColor="text1"/>
          <w:sz w:val="24"/>
          <w:highlight w:val="none"/>
          <w14:textFill>
            <w14:solidFill>
              <w14:schemeClr w14:val="tx1"/>
            </w14:solidFill>
          </w14:textFill>
        </w:rPr>
        <w:t>内容见</w:t>
      </w:r>
      <w:r>
        <w:rPr>
          <w:rFonts w:hint="eastAsia" w:ascii="仿宋" w:hAnsi="仿宋" w:eastAsia="仿宋" w:cs="仿宋"/>
          <w:b/>
          <w:bCs/>
          <w:color w:val="000000" w:themeColor="text1"/>
          <w:sz w:val="24"/>
          <w:highlight w:val="none"/>
          <w14:textFill>
            <w14:solidFill>
              <w14:schemeClr w14:val="tx1"/>
            </w14:solidFill>
          </w14:textFill>
        </w:rPr>
        <w:t>附件</w:t>
      </w:r>
      <w:r>
        <w:rPr>
          <w:rFonts w:hint="eastAsia" w:ascii="仿宋" w:hAnsi="仿宋" w:eastAsia="仿宋" w:cs="仿宋"/>
          <w:b/>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提供的所有零配件、材料、临时代用设备等必须符合国家、省、市相关标准和规定，且为全新的原厂合格正品，能够提供相关原厂合格证、质量保证书、购货发票等供甲方查验。</w:t>
      </w:r>
    </w:p>
    <w:p w14:paraId="2E8A5948">
      <w:pPr>
        <w:numPr>
          <w:ilvl w:val="0"/>
          <w:numId w:val="4"/>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服务</w:t>
      </w:r>
      <w:r>
        <w:rPr>
          <w:rFonts w:hint="eastAsia" w:ascii="仿宋" w:hAnsi="仿宋" w:eastAsia="仿宋" w:cs="仿宋"/>
          <w:b/>
          <w:color w:val="000000" w:themeColor="text1"/>
          <w:sz w:val="24"/>
          <w:highlight w:val="none"/>
          <w:lang w:val="en-US" w:eastAsia="zh-CN"/>
          <w14:textFill>
            <w14:solidFill>
              <w14:schemeClr w14:val="tx1"/>
            </w14:solidFill>
          </w14:textFill>
        </w:rPr>
        <w:t>商的</w:t>
      </w:r>
      <w:r>
        <w:rPr>
          <w:rFonts w:hint="eastAsia" w:ascii="仿宋" w:hAnsi="仿宋" w:eastAsia="仿宋" w:cs="仿宋"/>
          <w:b/>
          <w:color w:val="000000" w:themeColor="text1"/>
          <w:sz w:val="24"/>
          <w:highlight w:val="none"/>
          <w14:textFill>
            <w14:solidFill>
              <w14:schemeClr w14:val="tx1"/>
            </w14:solidFill>
          </w14:textFill>
        </w:rPr>
        <w:t>责任和权利</w:t>
      </w:r>
    </w:p>
    <w:p w14:paraId="43FA1FA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4.1服务商</w:t>
      </w:r>
      <w:r>
        <w:rPr>
          <w:rFonts w:hint="eastAsia" w:ascii="仿宋" w:hAnsi="仿宋" w:eastAsia="仿宋" w:cs="仿宋"/>
          <w:color w:val="000000" w:themeColor="text1"/>
          <w:sz w:val="24"/>
          <w:highlight w:val="none"/>
          <w14:textFill>
            <w14:solidFill>
              <w14:schemeClr w14:val="tx1"/>
            </w14:solidFill>
          </w14:textFill>
        </w:rPr>
        <w:t>应按照合同约定，参照国家、省、市有关规定和标准以及正确的检修规程和投标文件的维保方案和服务承诺于规定时间内保质保量提供维保服务工作，详细维保服务要求及内容见本合同附件；每次维保前必须通知甲方现场负责人，取其同意后方可进行保养工作，同时规范设置现场安全警示标志；在提供维保服务过程中若需临时切断局部水电供应的，应及时告知甲方现场负责人，并在经过甲方事先同意后方可切断局部水电供应。</w:t>
      </w:r>
    </w:p>
    <w:p w14:paraId="70EF7956">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4.2</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自备各种专业维修工具及设备，</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维修维保人员应具备相关业务资质和业务经验，持证（具体为相关维保项目对应所必需的业务资格证）上岗，并应按正确的检修规程进行专业操作、文明作业，遵守法律法规及甲方的各项规章制度。因</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保养不到位或</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维修维保工作人员违章作业、违法犯纪或违反甲方规章制度等行为造成甲方或第三方财产损失或人身伤害时，由</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承担相应赔偿责任。</w:t>
      </w:r>
    </w:p>
    <w:p w14:paraId="53BA95D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4.3</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在维修维保项目结束后应向甲方维保设备管理人员提供免费的操作培训和安全知识培训，使其掌握正确的操作方法，保障各设备的正常运行。</w:t>
      </w:r>
    </w:p>
    <w:p w14:paraId="5A48942A">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4.4</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应对维修维保施工过程中的环境安全负责，如因</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违反有关安全操作规程、消防条例，导致发生安全或火灾事故，</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应承担全部责任，并赔偿由此给甲方和第三方造成的一切损失。</w:t>
      </w:r>
    </w:p>
    <w:p w14:paraId="1D00E95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4.5</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应对本方员工在维修维保过程中的人身安全负责，非因甲方原因造成意外事故、安全事故或损失均由</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负责，甲方不承担任何责任，亦不做任何赔偿或补偿。</w:t>
      </w:r>
    </w:p>
    <w:p w14:paraId="63F3AD0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提供7*24小时维保服务，安排经甲方确认的项目经理，全面负责</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在本合同项下维保服务履行过程中各项事宜的协调沟通等，并在正式进场服务前向</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提供项目团队人员名单（应包含人员姓名、年龄、职务、业务资质等详细信息）供甲方核查。</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对其项目经理和项目团队中任一维保人员在维保期内向甲方出具的任何签字文件或材料均认可是</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的授权行为和</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的意思表示。若维保期内，</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前述人员发生变化或调整时，应提前三周以书面方式将调整后的人员名单（应包含人员姓名、年龄、职务、业务资质等详细信息，且需加盖</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公章）通知甲方，并需取得甲方项目责任部门认可后，调整后的</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人员方可接手维保工作。</w:t>
      </w:r>
    </w:p>
    <w:p w14:paraId="19D98C1D">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4.7</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每次维保完毕后均须填写维保记录和完成《设备维保报告》，详细记录设备维保情况和运行情况，并向甲方项目责任部门提交，且须取得甲方项目责任部门认可，以作为甲方考核和支付维保费用的依据。</w:t>
      </w:r>
    </w:p>
    <w:p w14:paraId="1678416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4.8</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在维保过程中发现设备存在安全隐患时，应及时向甲方项目责任部门报告具体隐患情况，在经得甲方项目责任部门同意后可以停止设备的使用，如遇紧急情况（如不停止使用设备可能造成重大财产损失或人身伤亡），</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 xml:space="preserve">可先行停止设备使用，并在停止后立刻（不超过1小时）向甲方项目责任部门报告。 </w:t>
      </w:r>
    </w:p>
    <w:p w14:paraId="3A7447A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4.9</w:t>
      </w:r>
      <w:r>
        <w:rPr>
          <w:rFonts w:hint="eastAsia" w:ascii="仿宋" w:hAnsi="仿宋" w:eastAsia="仿宋" w:cs="仿宋"/>
          <w:color w:val="000000" w:themeColor="text1"/>
          <w:sz w:val="24"/>
          <w:highlight w:val="none"/>
          <w14:textFill>
            <w14:solidFill>
              <w14:schemeClr w14:val="tx1"/>
            </w14:solidFill>
          </w14:textFill>
        </w:rPr>
        <w:t>在合同期内，</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有权依据本合同约定获得维保费用。</w:t>
      </w:r>
    </w:p>
    <w:p w14:paraId="76BEF7BC">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4.10</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在维修维保过程中应爱护甲方资产，任何涉及甲方资产的变更、损坏、报废等必须及时通知甲方项目责任部门。若发生</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维护人员损坏甲方资产的情形，则由</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按照原价赔偿。</w:t>
      </w:r>
    </w:p>
    <w:p w14:paraId="15D1088B">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4.11</w:t>
      </w:r>
      <w:r>
        <w:rPr>
          <w:rFonts w:hint="eastAsia" w:ascii="仿宋" w:hAnsi="仿宋" w:eastAsia="仿宋" w:cs="仿宋"/>
          <w:color w:val="000000" w:themeColor="text1"/>
          <w:sz w:val="24"/>
          <w:highlight w:val="none"/>
          <w14:textFill>
            <w14:solidFill>
              <w14:schemeClr w14:val="tx1"/>
            </w14:solidFill>
          </w14:textFill>
        </w:rPr>
        <w:t>如遇甲方认为的紧急或特殊时期（如重大活动等）的，</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应根据甲方的要求派专门的维保人员到达现场，免费提供临时维保服务和全程监护服务。</w:t>
      </w:r>
    </w:p>
    <w:p w14:paraId="3C1F588C">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4.12</w:t>
      </w:r>
      <w:r>
        <w:rPr>
          <w:rFonts w:hint="eastAsia" w:ascii="仿宋" w:hAnsi="仿宋" w:eastAsia="仿宋" w:cs="仿宋"/>
          <w:color w:val="000000" w:themeColor="text1"/>
          <w:sz w:val="24"/>
          <w:highlight w:val="none"/>
          <w14:textFill>
            <w14:solidFill>
              <w14:schemeClr w14:val="tx1"/>
            </w14:solidFill>
          </w14:textFill>
        </w:rPr>
        <w:t>维保期内，若甲方安排第三方对本合同维保范围内的设备实施或场所进行改造、修理、装饰的，</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应根据甲方要求在实施前提供建议并在工程结束时对设备进行检查维保，相关费用已包含在本合同总价中，甲方不再另行付费。</w:t>
      </w:r>
    </w:p>
    <w:p w14:paraId="10FCF37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4.13</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 xml:space="preserve">应自觉接受甲方对合同范围内的工作质量、进度、方法、安全、记录等监督检查。 </w:t>
      </w:r>
    </w:p>
    <w:p w14:paraId="3E032DB0">
      <w:pPr>
        <w:adjustRightInd w:val="0"/>
        <w:spacing w:before="120" w:after="120" w:line="360" w:lineRule="auto"/>
        <w:ind w:firstLine="472" w:firstLineChars="196"/>
        <w:jc w:val="left"/>
        <w:textAlignment w:val="baseline"/>
        <w:outlineLvl w:val="1"/>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5.服务期限：</w:t>
      </w:r>
    </w:p>
    <w:p w14:paraId="700F0548">
      <w:pPr>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服务期为</w:t>
      </w:r>
      <w:r>
        <w:rPr>
          <w:rFonts w:hint="eastAsia" w:ascii="仿宋" w:hAnsi="仿宋" w:eastAsia="仿宋" w:cs="仿宋"/>
          <w:color w:val="000000" w:themeColor="text1"/>
          <w:sz w:val="24"/>
          <w:highlight w:val="none"/>
          <w:lang w:val="en-US"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eastAsia="zh-CN"/>
          <w14:textFill>
            <w14:solidFill>
              <w14:schemeClr w14:val="tx1"/>
            </w14:solidFill>
          </w14:textFill>
        </w:rPr>
        <w:t>。</w:t>
      </w:r>
      <w:bookmarkStart w:id="20" w:name="_Toc480201001"/>
      <w:bookmarkStart w:id="21" w:name="_Toc49019228"/>
      <w:bookmarkStart w:id="22" w:name="_Toc47416189"/>
    </w:p>
    <w:p w14:paraId="4CD7018C">
      <w:pPr>
        <w:spacing w:line="360" w:lineRule="auto"/>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附件1：</w:t>
      </w:r>
      <w:r>
        <w:rPr>
          <w:rFonts w:hint="eastAsia" w:ascii="仿宋" w:hAnsi="仿宋" w:eastAsia="仿宋" w:cs="仿宋"/>
          <w:b/>
          <w:bCs/>
          <w:color w:val="000000" w:themeColor="text1"/>
          <w:sz w:val="24"/>
          <w:highlight w:val="none"/>
          <w14:textFill>
            <w14:solidFill>
              <w14:schemeClr w14:val="tx1"/>
            </w14:solidFill>
          </w14:textFill>
        </w:rPr>
        <w:t>详细维保</w:t>
      </w:r>
      <w:r>
        <w:rPr>
          <w:rFonts w:hint="eastAsia" w:ascii="仿宋" w:hAnsi="仿宋" w:eastAsia="仿宋" w:cs="仿宋"/>
          <w:b/>
          <w:bCs/>
          <w:color w:val="000000" w:themeColor="text1"/>
          <w:sz w:val="24"/>
          <w:highlight w:val="none"/>
          <w:lang w:val="en-US" w:eastAsia="zh-CN"/>
          <w14:textFill>
            <w14:solidFill>
              <w14:schemeClr w14:val="tx1"/>
            </w14:solidFill>
          </w14:textFill>
        </w:rPr>
        <w:t>设备明细</w:t>
      </w:r>
    </w:p>
    <w:tbl>
      <w:tblPr>
        <w:tblStyle w:val="19"/>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49"/>
        <w:gridCol w:w="449"/>
        <w:gridCol w:w="449"/>
        <w:gridCol w:w="449"/>
        <w:gridCol w:w="683"/>
        <w:gridCol w:w="683"/>
        <w:gridCol w:w="449"/>
        <w:gridCol w:w="605"/>
        <w:gridCol w:w="760"/>
        <w:gridCol w:w="683"/>
        <w:gridCol w:w="1071"/>
        <w:gridCol w:w="896"/>
        <w:gridCol w:w="1216"/>
      </w:tblGrid>
      <w:tr w14:paraId="04D9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216" w:type="dxa"/>
            <w:gridSpan w:val="14"/>
            <w:tcBorders>
              <w:top w:val="nil"/>
              <w:left w:val="nil"/>
              <w:bottom w:val="nil"/>
              <w:right w:val="nil"/>
            </w:tcBorders>
            <w:shd w:val="clear" w:color="auto" w:fill="auto"/>
            <w:noWrap/>
            <w:vAlign w:val="center"/>
          </w:tcPr>
          <w:p w14:paraId="1D35B8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南京中医药大学泰州校区智慧门禁（人脸识别）管理系统通道设备清单</w:t>
            </w:r>
          </w:p>
        </w:tc>
      </w:tr>
      <w:tr w14:paraId="7F17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CC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楼栋</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CD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通道数</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05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左边机</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E8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右边机</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7B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中间机</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1A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人脸识别组件</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6C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二维码阅读器</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D9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读卡器</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8F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数据服务器</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00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业务前置服务器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8D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人脸采集终端</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FF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与学工系统数据交换平台</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50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与一卡通数据交换平台</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26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设备品牌</w:t>
            </w:r>
          </w:p>
        </w:tc>
      </w:tr>
      <w:tr w14:paraId="7891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A9B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BB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82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BB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28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10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1A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40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3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4D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96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D1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B9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80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04B5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C25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41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6D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E2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F2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83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28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7E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C3D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D13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EE2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A78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FB0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12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446F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A12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FF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D9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E8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34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BA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57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B8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274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28C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976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9AB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270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E6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0634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583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D1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DB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E8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64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28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67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03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E5F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566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5B9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BC1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5F5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BB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4842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103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FD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D6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CD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9B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D6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91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F6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B94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43B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27B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8CA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4F8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B9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6B34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787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62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D6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5F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DA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E8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41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C9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13F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B2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309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A9B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81B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74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41C1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06D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85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61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4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D9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63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8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37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9C6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2D6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482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049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86B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25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71C5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769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ED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78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98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14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9A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26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86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8E2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293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5A0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BE0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E9F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B4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145D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77A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东门</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46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40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D0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E4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23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3C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80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7EF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C29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CB9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477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61E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0F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r>
      <w:tr w14:paraId="6828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0BF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北门</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13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C9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04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0A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41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22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6B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F0B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420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A00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09A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FD9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04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4173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70516FF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总数</w:t>
            </w:r>
          </w:p>
        </w:tc>
        <w:tc>
          <w:tcPr>
            <w:tcW w:w="449"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2DCDC4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29</w:t>
            </w:r>
          </w:p>
        </w:tc>
        <w:tc>
          <w:tcPr>
            <w:tcW w:w="449"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121F9F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76BF43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4E01CD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19</w:t>
            </w:r>
          </w:p>
        </w:tc>
        <w:tc>
          <w:tcPr>
            <w:tcW w:w="683"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435E15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58</w:t>
            </w:r>
          </w:p>
        </w:tc>
        <w:tc>
          <w:tcPr>
            <w:tcW w:w="683"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5A4563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58</w:t>
            </w:r>
          </w:p>
        </w:tc>
        <w:tc>
          <w:tcPr>
            <w:tcW w:w="449"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31A004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58</w:t>
            </w:r>
          </w:p>
        </w:tc>
        <w:tc>
          <w:tcPr>
            <w:tcW w:w="605"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5C6B07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13EF0D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79FE5D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43B1B8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w:t>
            </w:r>
          </w:p>
        </w:tc>
        <w:tc>
          <w:tcPr>
            <w:tcW w:w="896"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6B7384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4F4CC0F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sz w:val="22"/>
                <w:szCs w:val="22"/>
                <w:u w:val="none"/>
              </w:rPr>
            </w:pPr>
          </w:p>
        </w:tc>
      </w:tr>
    </w:tbl>
    <w:p w14:paraId="1973D26E">
      <w:pPr>
        <w:spacing w:line="360" w:lineRule="auto"/>
        <w:jc w:val="left"/>
        <w:rPr>
          <w:rFonts w:hint="eastAsia" w:ascii="仿宋" w:hAnsi="仿宋" w:eastAsia="仿宋" w:cs="仿宋"/>
          <w:color w:val="000000" w:themeColor="text1"/>
          <w:sz w:val="24"/>
          <w:highlight w:val="none"/>
          <w:lang w:val="en-US" w:eastAsia="zh-CN"/>
          <w14:textFill>
            <w14:solidFill>
              <w14:schemeClr w14:val="tx1"/>
            </w14:solidFill>
          </w14:textFill>
        </w:rPr>
      </w:pPr>
    </w:p>
    <w:p w14:paraId="1F73C34C">
      <w:pPr>
        <w:spacing w:line="360" w:lineRule="auto"/>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附件</w:t>
      </w:r>
      <w:r>
        <w:rPr>
          <w:rFonts w:hint="eastAsia" w:ascii="仿宋" w:hAnsi="仿宋" w:eastAsia="仿宋" w:cs="仿宋"/>
          <w:b/>
          <w:bCs/>
          <w:color w:val="000000" w:themeColor="text1"/>
          <w:sz w:val="24"/>
          <w:highlight w:val="none"/>
          <w:lang w:val="en-US" w:eastAsia="zh-CN"/>
          <w14:textFill>
            <w14:solidFill>
              <w14:schemeClr w14:val="tx1"/>
            </w14:solidFill>
          </w14:textFill>
        </w:rPr>
        <w:t>2：维保</w:t>
      </w:r>
      <w:r>
        <w:rPr>
          <w:rFonts w:hint="eastAsia" w:ascii="仿宋" w:hAnsi="仿宋" w:eastAsia="仿宋" w:cs="仿宋"/>
          <w:b/>
          <w:bCs/>
          <w:color w:val="000000" w:themeColor="text1"/>
          <w:sz w:val="24"/>
          <w:highlight w:val="none"/>
          <w14:textFill>
            <w14:solidFill>
              <w14:schemeClr w14:val="tx1"/>
            </w14:solidFill>
          </w14:textFill>
        </w:rPr>
        <w:t>服务要求</w:t>
      </w:r>
      <w:r>
        <w:rPr>
          <w:rFonts w:hint="eastAsia" w:ascii="仿宋" w:hAnsi="仿宋" w:eastAsia="仿宋" w:cs="仿宋"/>
          <w:b/>
          <w:bCs/>
          <w:color w:val="000000" w:themeColor="text1"/>
          <w:sz w:val="24"/>
          <w:highlight w:val="none"/>
          <w:lang w:eastAsia="zh-CN"/>
          <w14:textFill>
            <w14:solidFill>
              <w14:schemeClr w14:val="tx1"/>
            </w14:solidFill>
          </w14:textFill>
        </w:rPr>
        <w:t>和</w:t>
      </w:r>
      <w:r>
        <w:rPr>
          <w:rFonts w:hint="eastAsia" w:ascii="仿宋" w:hAnsi="仿宋" w:eastAsia="仿宋" w:cs="仿宋"/>
          <w:b/>
          <w:bCs/>
          <w:color w:val="000000" w:themeColor="text1"/>
          <w:sz w:val="24"/>
          <w:highlight w:val="none"/>
          <w14:textFill>
            <w14:solidFill>
              <w14:schemeClr w14:val="tx1"/>
            </w14:solidFill>
          </w14:textFill>
        </w:rPr>
        <w:t>内容</w:t>
      </w:r>
    </w:p>
    <w:p w14:paraId="4DECF2F7">
      <w:pPr>
        <w:spacing w:line="440" w:lineRule="exact"/>
        <w:rPr>
          <w:rFonts w:hint="default"/>
          <w:sz w:val="24"/>
          <w:szCs w:val="32"/>
          <w:lang w:val="en-US" w:eastAsia="zh-CN"/>
        </w:rPr>
      </w:pPr>
      <w:r>
        <w:rPr>
          <w:rFonts w:hint="default"/>
          <w:sz w:val="24"/>
          <w:szCs w:val="32"/>
          <w:lang w:val="en-US" w:eastAsia="zh-CN"/>
        </w:rPr>
        <w:t>（一）、维保要求</w:t>
      </w:r>
    </w:p>
    <w:p w14:paraId="37905D2C">
      <w:pPr>
        <w:spacing w:line="440" w:lineRule="exact"/>
        <w:ind w:firstLine="480" w:firstLineChars="200"/>
        <w:rPr>
          <w:rFonts w:hint="default"/>
          <w:sz w:val="24"/>
          <w:szCs w:val="32"/>
          <w:lang w:val="en-US" w:eastAsia="zh-CN"/>
        </w:rPr>
      </w:pPr>
      <w:r>
        <w:rPr>
          <w:rFonts w:hint="default"/>
          <w:sz w:val="24"/>
          <w:szCs w:val="32"/>
          <w:lang w:val="en-US" w:eastAsia="zh-CN"/>
        </w:rPr>
        <w:t>提供详细的维保服务方案，含维保计划、故障解决措施、系统优化及改造措施、人员组织、业绩及经验；</w:t>
      </w:r>
    </w:p>
    <w:p w14:paraId="7D1C7158">
      <w:pPr>
        <w:spacing w:line="440" w:lineRule="exact"/>
        <w:ind w:firstLine="480" w:firstLineChars="200"/>
        <w:rPr>
          <w:rFonts w:hint="default"/>
          <w:sz w:val="24"/>
          <w:szCs w:val="32"/>
          <w:lang w:val="en-US" w:eastAsia="zh-CN"/>
        </w:rPr>
      </w:pPr>
      <w:r>
        <w:rPr>
          <w:rFonts w:hint="default"/>
          <w:sz w:val="24"/>
          <w:szCs w:val="32"/>
          <w:lang w:val="en-US" w:eastAsia="zh-CN"/>
        </w:rPr>
        <w:t>为本项目中的所有设备提供满足服务期限的备品备件（详见备品备件清单）；</w:t>
      </w:r>
    </w:p>
    <w:p w14:paraId="0FCB6549">
      <w:pPr>
        <w:spacing w:line="440" w:lineRule="exact"/>
        <w:ind w:firstLine="480" w:firstLineChars="200"/>
        <w:rPr>
          <w:rFonts w:hint="default"/>
          <w:sz w:val="24"/>
          <w:szCs w:val="32"/>
          <w:lang w:val="en-US" w:eastAsia="zh-CN"/>
        </w:rPr>
      </w:pPr>
      <w:r>
        <w:rPr>
          <w:rFonts w:hint="default"/>
          <w:sz w:val="24"/>
          <w:szCs w:val="32"/>
          <w:lang w:val="en-US" w:eastAsia="zh-CN"/>
        </w:rPr>
        <w:t>维保期内所提供的设备、配件、易损件必须是全新、包装完整、原厂商原装、正规渠道产品，且不低于原使用的设备品牌档次或技术性能一致；</w:t>
      </w:r>
    </w:p>
    <w:p w14:paraId="725E95D2">
      <w:pPr>
        <w:spacing w:line="440" w:lineRule="exact"/>
        <w:ind w:firstLine="480" w:firstLineChars="200"/>
        <w:rPr>
          <w:rFonts w:hint="default"/>
          <w:sz w:val="24"/>
          <w:szCs w:val="32"/>
          <w:lang w:val="en-US" w:eastAsia="zh-CN"/>
        </w:rPr>
      </w:pPr>
      <w:r>
        <w:rPr>
          <w:rFonts w:hint="default"/>
          <w:sz w:val="24"/>
          <w:szCs w:val="32"/>
          <w:lang w:val="en-US" w:eastAsia="zh-CN"/>
        </w:rPr>
        <w:t>投标单位应保证学校在使用设备时安全、可靠，享有完整的原厂商售后服务，不涉及任何侵犯其著作权、专利权、商标权或设计权的纠纷；投标单位投标时提供设备必须提供针对本项目三年质保服务承诺函并加盖投标人公章；</w:t>
      </w:r>
    </w:p>
    <w:p w14:paraId="7693F096">
      <w:pPr>
        <w:spacing w:line="440" w:lineRule="exact"/>
        <w:ind w:firstLine="480" w:firstLineChars="200"/>
        <w:rPr>
          <w:rFonts w:hint="default"/>
          <w:sz w:val="24"/>
          <w:szCs w:val="32"/>
          <w:lang w:val="en-US" w:eastAsia="zh-CN"/>
        </w:rPr>
      </w:pPr>
      <w:r>
        <w:rPr>
          <w:rFonts w:hint="default"/>
          <w:sz w:val="24"/>
          <w:szCs w:val="32"/>
          <w:lang w:val="en-US" w:eastAsia="zh-CN"/>
        </w:rPr>
        <w:t>（1）作好项目实施记录、跟踪维护报告，项目资料的整理、验收资料的编制等工作。项目完工验收时将系统的全部有关技术文件、实施记录资料、及相关文档汇集成册交付采购单位；</w:t>
      </w:r>
    </w:p>
    <w:p w14:paraId="49EA3728">
      <w:pPr>
        <w:spacing w:line="440" w:lineRule="exact"/>
        <w:ind w:firstLine="480" w:firstLineChars="200"/>
        <w:rPr>
          <w:rFonts w:hint="default"/>
          <w:sz w:val="24"/>
          <w:szCs w:val="32"/>
          <w:lang w:val="en-US" w:eastAsia="zh-CN"/>
        </w:rPr>
      </w:pPr>
      <w:r>
        <w:rPr>
          <w:rFonts w:hint="default"/>
          <w:sz w:val="24"/>
          <w:szCs w:val="32"/>
          <w:lang w:val="en-US" w:eastAsia="zh-CN"/>
        </w:rPr>
        <w:t>（2）应根据本项目特点，提供的培训方案</w:t>
      </w:r>
      <w:r>
        <w:rPr>
          <w:rFonts w:hint="eastAsia"/>
          <w:sz w:val="24"/>
          <w:szCs w:val="32"/>
          <w:lang w:val="en-US" w:eastAsia="zh-CN"/>
        </w:rPr>
        <w:t>；</w:t>
      </w:r>
    </w:p>
    <w:p w14:paraId="50C8C616">
      <w:pPr>
        <w:spacing w:line="440" w:lineRule="exact"/>
        <w:ind w:firstLine="480" w:firstLineChars="200"/>
        <w:rPr>
          <w:rFonts w:hint="default"/>
          <w:sz w:val="24"/>
          <w:szCs w:val="32"/>
          <w:lang w:val="en-US" w:eastAsia="zh-CN"/>
        </w:rPr>
      </w:pPr>
      <w:r>
        <w:rPr>
          <w:rFonts w:hint="default"/>
          <w:sz w:val="24"/>
          <w:szCs w:val="32"/>
          <w:lang w:val="en-US" w:eastAsia="zh-CN"/>
        </w:rPr>
        <w:t>（3）按照招标人要求提供值班记录、运行记录、巡查记录、维护记录等内业台账管理、归档服务。</w:t>
      </w:r>
    </w:p>
    <w:p w14:paraId="5C48AAB5">
      <w:pPr>
        <w:spacing w:line="440" w:lineRule="exact"/>
        <w:ind w:firstLine="480" w:firstLineChars="200"/>
        <w:rPr>
          <w:rFonts w:hint="default"/>
          <w:sz w:val="24"/>
          <w:szCs w:val="32"/>
          <w:lang w:val="en-US" w:eastAsia="zh-CN"/>
        </w:rPr>
      </w:pPr>
      <w:r>
        <w:rPr>
          <w:rFonts w:hint="default"/>
          <w:sz w:val="24"/>
          <w:szCs w:val="32"/>
          <w:lang w:val="en-US" w:eastAsia="zh-CN"/>
        </w:rPr>
        <w:t>（4）要求驻场服务，每周驻场天数不低于4天，早晚两次巡检。甲方遇重大活动，乙方须派专人全程现场保障，确保视人行道闸系统运行正常。所有相关费用均已包含在本合同期限内本维保项目总价中，甲方不再另行向乙方支付任何费用。</w:t>
      </w:r>
    </w:p>
    <w:p w14:paraId="2EA693FA">
      <w:pPr>
        <w:spacing w:line="440" w:lineRule="exact"/>
        <w:ind w:firstLine="480" w:firstLineChars="200"/>
        <w:rPr>
          <w:rFonts w:hint="default"/>
          <w:sz w:val="24"/>
          <w:szCs w:val="32"/>
          <w:lang w:val="en-US" w:eastAsia="zh-CN"/>
        </w:rPr>
      </w:pPr>
      <w:r>
        <w:rPr>
          <w:rFonts w:hint="default"/>
          <w:sz w:val="24"/>
          <w:szCs w:val="32"/>
          <w:lang w:val="en-US" w:eastAsia="zh-CN"/>
        </w:rPr>
        <w:t>（5）投标人提供派驻工程师的办公场所，派驻工程师须在校内驻点；</w:t>
      </w:r>
    </w:p>
    <w:p w14:paraId="46E02CB7">
      <w:pPr>
        <w:spacing w:line="440" w:lineRule="exact"/>
        <w:ind w:firstLine="480" w:firstLineChars="200"/>
        <w:rPr>
          <w:rFonts w:hint="default"/>
          <w:sz w:val="24"/>
          <w:szCs w:val="32"/>
          <w:lang w:val="en-US" w:eastAsia="zh-CN"/>
        </w:rPr>
      </w:pPr>
      <w:r>
        <w:rPr>
          <w:rFonts w:hint="default"/>
          <w:sz w:val="24"/>
          <w:szCs w:val="32"/>
          <w:lang w:val="en-US" w:eastAsia="zh-CN"/>
        </w:rPr>
        <w:t>1）驻场人员的工作时间服从学校的工作与作息时间要求（特殊情况除外）；</w:t>
      </w:r>
    </w:p>
    <w:p w14:paraId="426AF720">
      <w:pPr>
        <w:spacing w:line="440" w:lineRule="exact"/>
        <w:ind w:firstLine="480" w:firstLineChars="200"/>
        <w:rPr>
          <w:rFonts w:hint="default"/>
          <w:sz w:val="24"/>
          <w:szCs w:val="32"/>
          <w:lang w:val="en-US" w:eastAsia="zh-CN"/>
        </w:rPr>
      </w:pPr>
      <w:r>
        <w:rPr>
          <w:rFonts w:hint="default"/>
          <w:sz w:val="24"/>
          <w:szCs w:val="32"/>
          <w:lang w:val="en-US" w:eastAsia="zh-CN"/>
        </w:rPr>
        <w:t>2）入驻的维护人员统一着装，服装干净、整洁、挂牌服务，讲究礼仪，态度热情，服务周到。须接受招标人的日常监督和管理。</w:t>
      </w:r>
    </w:p>
    <w:p w14:paraId="66D1F835">
      <w:pPr>
        <w:spacing w:line="440" w:lineRule="exact"/>
        <w:ind w:firstLine="480" w:firstLineChars="200"/>
        <w:rPr>
          <w:rFonts w:hint="default"/>
          <w:sz w:val="24"/>
          <w:szCs w:val="32"/>
          <w:lang w:val="en-US" w:eastAsia="zh-CN"/>
        </w:rPr>
      </w:pPr>
      <w:r>
        <w:rPr>
          <w:rFonts w:hint="default"/>
          <w:sz w:val="24"/>
          <w:szCs w:val="32"/>
          <w:lang w:val="en-US" w:eastAsia="zh-CN"/>
        </w:rPr>
        <w:t>（6）非驻场技术团队</w:t>
      </w:r>
    </w:p>
    <w:p w14:paraId="1C348C9D">
      <w:pPr>
        <w:spacing w:line="440" w:lineRule="exact"/>
        <w:ind w:firstLine="480" w:firstLineChars="200"/>
        <w:rPr>
          <w:rFonts w:hint="default"/>
          <w:sz w:val="24"/>
          <w:szCs w:val="32"/>
          <w:lang w:val="en-US" w:eastAsia="zh-CN"/>
        </w:rPr>
      </w:pPr>
      <w:r>
        <w:rPr>
          <w:rFonts w:hint="default"/>
          <w:sz w:val="24"/>
          <w:szCs w:val="32"/>
          <w:lang w:val="en-US" w:eastAsia="zh-CN"/>
        </w:rPr>
        <w:t>非驻场技术团队人数不限，驻场人员不能解决的问题，由公司派非驻场技术团队至现场进行解决；定期安排非驻场技术团队至现场进行详细巡检、维保。</w:t>
      </w:r>
    </w:p>
    <w:p w14:paraId="6FE8BADA">
      <w:pPr>
        <w:spacing w:line="440" w:lineRule="exact"/>
        <w:ind w:firstLine="480" w:firstLineChars="200"/>
        <w:rPr>
          <w:rFonts w:hint="default"/>
          <w:sz w:val="24"/>
          <w:szCs w:val="32"/>
          <w:lang w:val="en-US" w:eastAsia="zh-CN"/>
        </w:rPr>
      </w:pPr>
      <w:r>
        <w:rPr>
          <w:rFonts w:hint="default"/>
          <w:sz w:val="24"/>
          <w:szCs w:val="32"/>
          <w:lang w:val="en-US" w:eastAsia="zh-CN"/>
        </w:rPr>
        <w:t>（二）、故障处理要求</w:t>
      </w:r>
    </w:p>
    <w:p w14:paraId="6949ECB7">
      <w:pPr>
        <w:spacing w:line="440" w:lineRule="exact"/>
        <w:ind w:firstLine="480" w:firstLineChars="200"/>
        <w:rPr>
          <w:rFonts w:hint="eastAsia"/>
          <w:sz w:val="24"/>
          <w:szCs w:val="32"/>
        </w:rPr>
      </w:pPr>
      <w:r>
        <w:rPr>
          <w:rFonts w:hint="default"/>
          <w:sz w:val="24"/>
          <w:szCs w:val="32"/>
          <w:lang w:val="en-US" w:eastAsia="zh-CN"/>
        </w:rPr>
        <w:t>（1）维保技术人员到达现场后需持续工作直到设备正常运行，一般故障应当在2小时内修复；如需等待购买配件或因设备本身等原因不能及时修复的，</w:t>
      </w:r>
      <w:r>
        <w:rPr>
          <w:rFonts w:hint="eastAsia"/>
          <w:sz w:val="24"/>
          <w:szCs w:val="32"/>
        </w:rPr>
        <w:t>要立即向医院方管理部门报告，并提供备用设备，在此期间，系统中断运行不得超过4小时；</w:t>
      </w:r>
    </w:p>
    <w:p w14:paraId="5C62D674">
      <w:pPr>
        <w:spacing w:line="440" w:lineRule="exact"/>
        <w:ind w:firstLine="480" w:firstLineChars="200"/>
        <w:rPr>
          <w:rFonts w:hint="eastAsia"/>
          <w:sz w:val="24"/>
          <w:szCs w:val="32"/>
        </w:rPr>
      </w:pPr>
      <w:r>
        <w:rPr>
          <w:rFonts w:hint="eastAsia"/>
          <w:sz w:val="24"/>
          <w:szCs w:val="32"/>
        </w:rPr>
        <w:t>（2）普通故障修复时限：当日解决，以不影响工作为原则。</w:t>
      </w:r>
    </w:p>
    <w:p w14:paraId="31EC9C6B">
      <w:pPr>
        <w:spacing w:line="440" w:lineRule="exact"/>
        <w:ind w:firstLine="480" w:firstLineChars="200"/>
        <w:rPr>
          <w:rFonts w:hint="eastAsia"/>
          <w:sz w:val="24"/>
          <w:szCs w:val="32"/>
        </w:rPr>
      </w:pPr>
      <w:r>
        <w:rPr>
          <w:rFonts w:hint="eastAsia"/>
          <w:sz w:val="24"/>
          <w:szCs w:val="32"/>
        </w:rPr>
        <w:t>（3）重大故障修复时限：12 小时内维修备件运达，24 小时内恢复系统工作，3 日内全面恢复系统各项技术指标，达到正常工作状态。</w:t>
      </w:r>
    </w:p>
    <w:p w14:paraId="686B6788">
      <w:pPr>
        <w:spacing w:line="440" w:lineRule="exact"/>
        <w:ind w:firstLine="480" w:firstLineChars="200"/>
        <w:rPr>
          <w:rFonts w:hint="eastAsia"/>
          <w:sz w:val="24"/>
          <w:szCs w:val="32"/>
        </w:rPr>
      </w:pPr>
      <w:r>
        <w:rPr>
          <w:rFonts w:hint="eastAsia"/>
          <w:sz w:val="24"/>
          <w:szCs w:val="32"/>
        </w:rPr>
        <w:t>（三）、响应要求</w:t>
      </w:r>
    </w:p>
    <w:p w14:paraId="75300B49">
      <w:pPr>
        <w:spacing w:line="440" w:lineRule="exact"/>
        <w:ind w:firstLine="480" w:firstLineChars="200"/>
        <w:rPr>
          <w:rFonts w:hint="eastAsia"/>
          <w:sz w:val="24"/>
          <w:szCs w:val="32"/>
        </w:rPr>
      </w:pPr>
      <w:r>
        <w:rPr>
          <w:rFonts w:hint="eastAsia"/>
          <w:sz w:val="24"/>
          <w:szCs w:val="32"/>
        </w:rPr>
        <w:t>乙方提供以下服务项目：</w:t>
      </w:r>
    </w:p>
    <w:p w14:paraId="400C1905">
      <w:pPr>
        <w:spacing w:line="440" w:lineRule="exact"/>
        <w:ind w:firstLine="480" w:firstLineChars="200"/>
        <w:rPr>
          <w:rFonts w:hint="eastAsia"/>
          <w:sz w:val="24"/>
          <w:szCs w:val="32"/>
        </w:rPr>
      </w:pPr>
      <w:r>
        <w:rPr>
          <w:rFonts w:hint="eastAsia"/>
          <w:sz w:val="24"/>
          <w:szCs w:val="32"/>
        </w:rPr>
        <w:t>7*24 小时热线支持服务；</w:t>
      </w:r>
    </w:p>
    <w:p w14:paraId="0C251B7D">
      <w:pPr>
        <w:spacing w:line="440" w:lineRule="exact"/>
        <w:ind w:firstLine="480" w:firstLineChars="200"/>
        <w:rPr>
          <w:rFonts w:hint="eastAsia"/>
          <w:sz w:val="24"/>
          <w:szCs w:val="32"/>
        </w:rPr>
      </w:pPr>
      <w:r>
        <w:rPr>
          <w:rFonts w:hint="eastAsia"/>
          <w:sz w:val="24"/>
          <w:szCs w:val="32"/>
        </w:rPr>
        <w:t>紧急故障排除服务；</w:t>
      </w:r>
    </w:p>
    <w:p w14:paraId="573C7A28">
      <w:pPr>
        <w:spacing w:line="440" w:lineRule="exact"/>
        <w:ind w:firstLine="480" w:firstLineChars="200"/>
        <w:rPr>
          <w:rFonts w:hint="eastAsia"/>
          <w:sz w:val="24"/>
          <w:szCs w:val="32"/>
        </w:rPr>
      </w:pPr>
      <w:r>
        <w:rPr>
          <w:rFonts w:hint="eastAsia"/>
          <w:sz w:val="24"/>
          <w:szCs w:val="32"/>
        </w:rPr>
        <w:t>现场技术服务；</w:t>
      </w:r>
    </w:p>
    <w:p w14:paraId="72C5B6C0">
      <w:pPr>
        <w:spacing w:line="440" w:lineRule="exact"/>
        <w:ind w:firstLine="480" w:firstLineChars="200"/>
        <w:rPr>
          <w:rFonts w:hint="eastAsia"/>
          <w:sz w:val="24"/>
          <w:szCs w:val="32"/>
        </w:rPr>
      </w:pPr>
      <w:r>
        <w:rPr>
          <w:rFonts w:hint="eastAsia"/>
          <w:sz w:val="24"/>
          <w:szCs w:val="32"/>
        </w:rPr>
        <w:t>现场巡检服务；</w:t>
      </w:r>
    </w:p>
    <w:p w14:paraId="606883A9">
      <w:pPr>
        <w:spacing w:line="440" w:lineRule="exact"/>
        <w:ind w:firstLine="480" w:firstLineChars="200"/>
        <w:rPr>
          <w:rFonts w:hint="eastAsia"/>
          <w:sz w:val="24"/>
          <w:szCs w:val="32"/>
        </w:rPr>
      </w:pPr>
      <w:r>
        <w:rPr>
          <w:rFonts w:hint="eastAsia"/>
          <w:sz w:val="24"/>
          <w:szCs w:val="32"/>
        </w:rPr>
        <w:t>硬件维修服务；</w:t>
      </w:r>
    </w:p>
    <w:p w14:paraId="03496B88">
      <w:pPr>
        <w:spacing w:line="440" w:lineRule="exact"/>
        <w:ind w:firstLine="480" w:firstLineChars="200"/>
        <w:rPr>
          <w:rFonts w:hint="eastAsia"/>
          <w:sz w:val="24"/>
          <w:szCs w:val="32"/>
        </w:rPr>
      </w:pPr>
      <w:r>
        <w:rPr>
          <w:rFonts w:hint="eastAsia"/>
          <w:sz w:val="24"/>
          <w:szCs w:val="32"/>
        </w:rPr>
        <w:t>紧急备件支持服务；</w:t>
      </w:r>
    </w:p>
    <w:p w14:paraId="52BAD659">
      <w:pPr>
        <w:spacing w:line="440" w:lineRule="exact"/>
        <w:ind w:firstLine="480" w:firstLineChars="200"/>
        <w:rPr>
          <w:rFonts w:hint="eastAsia"/>
          <w:sz w:val="24"/>
          <w:szCs w:val="32"/>
        </w:rPr>
      </w:pPr>
      <w:r>
        <w:rPr>
          <w:rFonts w:hint="eastAsia"/>
          <w:sz w:val="24"/>
          <w:szCs w:val="32"/>
        </w:rPr>
        <w:t>软件更新服务。</w:t>
      </w:r>
    </w:p>
    <w:p w14:paraId="3310D92E">
      <w:pPr>
        <w:spacing w:line="440" w:lineRule="exact"/>
        <w:ind w:firstLine="480" w:firstLineChars="200"/>
        <w:rPr>
          <w:rFonts w:hint="eastAsia"/>
          <w:sz w:val="24"/>
          <w:szCs w:val="32"/>
        </w:rPr>
      </w:pPr>
      <w:r>
        <w:rPr>
          <w:rFonts w:hint="eastAsia"/>
          <w:sz w:val="24"/>
          <w:szCs w:val="32"/>
        </w:rPr>
        <w:t>（四）、设备更换及备品备件要求</w:t>
      </w:r>
    </w:p>
    <w:p w14:paraId="21192E1E">
      <w:pPr>
        <w:spacing w:line="440" w:lineRule="exact"/>
        <w:ind w:firstLine="480" w:firstLineChars="200"/>
        <w:rPr>
          <w:rFonts w:hint="eastAsia"/>
          <w:sz w:val="24"/>
          <w:szCs w:val="32"/>
        </w:rPr>
      </w:pPr>
      <w:r>
        <w:rPr>
          <w:rFonts w:hint="eastAsia"/>
          <w:sz w:val="24"/>
          <w:szCs w:val="32"/>
        </w:rPr>
        <w:t>（1）为本项目中的所有设备提供满足服务期限的备品备件；</w:t>
      </w:r>
    </w:p>
    <w:p w14:paraId="22CF32A8">
      <w:pPr>
        <w:spacing w:line="440" w:lineRule="exact"/>
        <w:ind w:firstLine="480" w:firstLineChars="200"/>
        <w:rPr>
          <w:rFonts w:hint="eastAsia"/>
          <w:sz w:val="24"/>
          <w:szCs w:val="32"/>
        </w:rPr>
      </w:pPr>
      <w:r>
        <w:rPr>
          <w:rFonts w:hint="eastAsia"/>
          <w:sz w:val="24"/>
          <w:szCs w:val="32"/>
        </w:rPr>
        <w:t>（2）日常维保工作中，维保公司必须在备件库中保有一定数量的易损备品备件（随时对已使用的备件进行补充），以确保能满足日常运维保障的基本要求；</w:t>
      </w:r>
    </w:p>
    <w:p w14:paraId="01EF3369">
      <w:pPr>
        <w:spacing w:line="440" w:lineRule="exact"/>
        <w:ind w:firstLine="480" w:firstLineChars="200"/>
        <w:rPr>
          <w:rFonts w:hint="eastAsia"/>
          <w:sz w:val="24"/>
          <w:szCs w:val="32"/>
        </w:rPr>
      </w:pPr>
      <w:r>
        <w:rPr>
          <w:rFonts w:hint="eastAsia"/>
          <w:sz w:val="24"/>
          <w:szCs w:val="32"/>
        </w:rPr>
        <w:t>（3）设备返修，维保单位对设备故障不能自行修复的，可送原厂返修或送专业单位修理，相关修理费用由维保单位支付；</w:t>
      </w:r>
    </w:p>
    <w:p w14:paraId="2207773D">
      <w:pPr>
        <w:spacing w:line="440" w:lineRule="exact"/>
        <w:ind w:firstLine="480" w:firstLineChars="200"/>
        <w:rPr>
          <w:rFonts w:hint="eastAsia"/>
          <w:sz w:val="24"/>
          <w:szCs w:val="32"/>
        </w:rPr>
      </w:pPr>
      <w:r>
        <w:rPr>
          <w:rFonts w:hint="eastAsia"/>
          <w:sz w:val="24"/>
          <w:szCs w:val="32"/>
        </w:rPr>
        <w:t>（4）当发生硬件设备故障时，如不能在12小时内修复故障，若用户要求,维保公司必须提供备机；</w:t>
      </w:r>
    </w:p>
    <w:p w14:paraId="44E0482A">
      <w:pPr>
        <w:spacing w:line="440" w:lineRule="exact"/>
        <w:ind w:firstLine="480" w:firstLineChars="200"/>
        <w:rPr>
          <w:rFonts w:hint="eastAsia"/>
          <w:sz w:val="24"/>
          <w:szCs w:val="32"/>
        </w:rPr>
      </w:pPr>
      <w:r>
        <w:rPr>
          <w:rFonts w:hint="eastAsia"/>
          <w:sz w:val="24"/>
          <w:szCs w:val="32"/>
        </w:rPr>
        <w:t>（5）合同期内所发生的驻场人员工资福利、加班费、值班费、津贴、劳保费、各种保险、服装费、人员食宿与交通、工具费、设备的日常保养及人工等费用均由中标人承担。维保过程中需要更换设备和设备配件的，则中标人应向采购人提供需更换设备和设备配件品牌、规格、型号以及价格等，经采购人审核认可后，中标人方可实施。如需更换的设备和设备配件价格在人民币200元内（即≦200元），则与更换相关的配件费、材料费、运输费、人工费、安装费、调试费等所有费用均由中标人承担，即已包含在投标报价中。如需更换的设备和设备配件价格在人民币200元以上（即&gt;200元），则由采购人指定代表签字确认后承担支付设备和设备配件费用，维修相关的人工费、安装费、调试费等则由中标人承担，即已包含在投标报价中；采购人仅承担经采购人审核认可的价格在人民币200元以上的设备和设备配件费用。若实际需更换的设备和设备配件中，</w:t>
      </w:r>
      <w:r>
        <w:rPr>
          <w:rFonts w:hint="eastAsia"/>
          <w:sz w:val="24"/>
          <w:szCs w:val="32"/>
          <w:lang w:val="en-US" w:eastAsia="zh-CN"/>
        </w:rPr>
        <w:t>在中标人投标的运维设备维修更换配件报价</w:t>
      </w:r>
      <w:r>
        <w:rPr>
          <w:rFonts w:hint="eastAsia"/>
          <w:sz w:val="24"/>
          <w:szCs w:val="32"/>
        </w:rPr>
        <w:t>表中</w:t>
      </w:r>
      <w:r>
        <w:rPr>
          <w:rFonts w:hint="eastAsia"/>
          <w:sz w:val="24"/>
          <w:szCs w:val="32"/>
          <w:lang w:eastAsia="zh-CN"/>
        </w:rPr>
        <w:t>（</w:t>
      </w:r>
      <w:r>
        <w:rPr>
          <w:rFonts w:hint="eastAsia"/>
          <w:sz w:val="24"/>
          <w:szCs w:val="32"/>
          <w:lang w:val="en-US" w:eastAsia="zh-CN"/>
        </w:rPr>
        <w:t>见下</w:t>
      </w:r>
      <w:r>
        <w:rPr>
          <w:rFonts w:hint="eastAsia"/>
          <w:sz w:val="24"/>
          <w:szCs w:val="32"/>
          <w:lang w:eastAsia="zh-CN"/>
        </w:rPr>
        <w:t>）</w:t>
      </w:r>
      <w:r>
        <w:rPr>
          <w:rFonts w:hint="eastAsia"/>
          <w:sz w:val="24"/>
          <w:szCs w:val="32"/>
        </w:rPr>
        <w:t>没有列明，则由中标人应向采购人提供需更换设备和设备配件品牌、规格、型号以及价格等，经采购人审核认可后，中标人方可实施。</w:t>
      </w:r>
    </w:p>
    <w:tbl>
      <w:tblPr>
        <w:tblStyle w:val="19"/>
        <w:tblW w:w="85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620"/>
        <w:gridCol w:w="1579"/>
        <w:gridCol w:w="766"/>
        <w:gridCol w:w="656"/>
        <w:gridCol w:w="713"/>
        <w:gridCol w:w="541"/>
      </w:tblGrid>
      <w:tr w14:paraId="52E0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531" w:type="dxa"/>
            <w:gridSpan w:val="7"/>
            <w:tcBorders>
              <w:top w:val="nil"/>
              <w:left w:val="nil"/>
              <w:bottom w:val="nil"/>
              <w:right w:val="nil"/>
            </w:tcBorders>
            <w:shd w:val="clear" w:color="auto" w:fill="auto"/>
            <w:noWrap/>
            <w:vAlign w:val="center"/>
          </w:tcPr>
          <w:p w14:paraId="5C08E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通道门禁系统运维设备维修更换配件价格表</w:t>
            </w:r>
          </w:p>
        </w:tc>
      </w:tr>
      <w:tr w14:paraId="5FFD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5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7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2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E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品牌</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9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数量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6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r>
      <w:tr w14:paraId="4D94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6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3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DBF9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S5024PV5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5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E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3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r>
      <w:tr w14:paraId="6F9C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0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C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管理软件平台（含服务器）</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D6D6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EGS531-PM </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F532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F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1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61D7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D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3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业务前置服务器</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1BDE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DA8500-FG</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E249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E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A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14:paraId="23A4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3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7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单机芯闸机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3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EL-S802 </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4C38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F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4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16800</w:t>
            </w:r>
          </w:p>
        </w:tc>
      </w:tr>
      <w:tr w14:paraId="6E81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F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5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单机芯闸机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B1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DS-K3B501-L-R</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EAE0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9D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A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17100</w:t>
            </w:r>
          </w:p>
        </w:tc>
      </w:tr>
      <w:tr w14:paraId="5C5F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9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2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双机芯闸机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9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Style w:val="33"/>
                <w:lang w:val="en-US" w:eastAsia="zh-CN" w:bidi="ar"/>
              </w:rPr>
              <w:t>EL-S802@M</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E899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B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7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w:t>
            </w:r>
          </w:p>
        </w:tc>
      </w:tr>
      <w:tr w14:paraId="3CCE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0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9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双机芯闸机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C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DS-K3B501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C7AE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4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4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19100</w:t>
            </w:r>
          </w:p>
        </w:tc>
      </w:tr>
      <w:tr w14:paraId="68F1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C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人脸识别组件</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A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ET-B32L </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A334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F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6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14:paraId="4CDC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9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二维码阅读器</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1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EG121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4F4C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7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1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658D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0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6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自助采集终端</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1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EV-E51D</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8ACC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D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A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328D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9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B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摆臂 </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C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亚克力定制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60C9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D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3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3E57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5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E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闸机遥控器 </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9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YK2300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8A49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6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r>
      <w:tr w14:paraId="6776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4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9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A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系统管理软件（含一卡通、奥兰数据对接）</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4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定制开发</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42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6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9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r>
    </w:tbl>
    <w:p w14:paraId="02DE7206">
      <w:pPr>
        <w:spacing w:line="360" w:lineRule="auto"/>
        <w:jc w:val="left"/>
        <w:rPr>
          <w:rFonts w:hint="eastAsia" w:ascii="仿宋" w:hAnsi="仿宋" w:eastAsia="仿宋" w:cs="仿宋"/>
          <w:b/>
          <w:bCs/>
          <w:w w:val="100"/>
          <w:sz w:val="44"/>
          <w:szCs w:val="44"/>
        </w:rPr>
      </w:pPr>
      <w:r>
        <w:rPr>
          <w:rFonts w:hint="eastAsia" w:ascii="仿宋" w:hAnsi="仿宋" w:eastAsia="仿宋" w:cs="仿宋"/>
          <w:b w:val="0"/>
          <w:color w:val="000000"/>
          <w:sz w:val="24"/>
          <w:szCs w:val="24"/>
        </w:rPr>
        <w:br w:type="page"/>
      </w:r>
      <w:bookmarkStart w:id="23" w:name="_Toc27503"/>
      <w:bookmarkStart w:id="24" w:name="_Toc8791"/>
      <w:bookmarkStart w:id="25" w:name="_Toc29797"/>
      <w:bookmarkStart w:id="26" w:name="_Toc9860"/>
      <w:bookmarkStart w:id="27" w:name="_Toc30301"/>
      <w:bookmarkStart w:id="28" w:name="_Toc9415"/>
    </w:p>
    <w:p w14:paraId="1F3C38B7">
      <w:pPr>
        <w:pStyle w:val="2"/>
        <w:keepNext/>
        <w:keepLines/>
        <w:pageBreakBefore w:val="0"/>
        <w:widowControl w:val="0"/>
        <w:numPr>
          <w:ilvl w:val="0"/>
          <w:numId w:val="3"/>
        </w:numPr>
        <w:kinsoku/>
        <w:wordWrap/>
        <w:overflowPunct/>
        <w:topLinePunct w:val="0"/>
        <w:autoSpaceDE/>
        <w:autoSpaceDN/>
        <w:bidi w:val="0"/>
        <w:adjustRightInd/>
        <w:snapToGrid/>
        <w:spacing w:before="0" w:after="0" w:line="579" w:lineRule="auto"/>
        <w:ind w:left="0" w:leftChars="0" w:firstLine="0" w:firstLineChars="0"/>
        <w:jc w:val="center"/>
        <w:textAlignment w:val="auto"/>
        <w:rPr>
          <w:rFonts w:hint="eastAsia" w:ascii="仿宋" w:hAnsi="仿宋" w:eastAsia="仿宋" w:cs="仿宋"/>
          <w:b/>
          <w:bCs/>
          <w:w w:val="100"/>
          <w:sz w:val="44"/>
          <w:szCs w:val="44"/>
        </w:rPr>
      </w:pPr>
      <w:r>
        <w:rPr>
          <w:rFonts w:hint="eastAsia" w:ascii="仿宋" w:hAnsi="仿宋" w:eastAsia="仿宋" w:cs="仿宋"/>
          <w:b/>
          <w:bCs/>
          <w:w w:val="100"/>
          <w:sz w:val="44"/>
          <w:szCs w:val="44"/>
          <w:lang w:val="en-US" w:eastAsia="zh-CN"/>
        </w:rPr>
        <w:t>响应文件</w:t>
      </w:r>
      <w:r>
        <w:rPr>
          <w:rFonts w:hint="eastAsia" w:ascii="仿宋" w:hAnsi="仿宋" w:eastAsia="仿宋" w:cs="仿宋"/>
          <w:b/>
          <w:bCs/>
          <w:w w:val="100"/>
          <w:sz w:val="44"/>
          <w:szCs w:val="44"/>
        </w:rPr>
        <w:t>格式</w:t>
      </w:r>
      <w:bookmarkEnd w:id="20"/>
      <w:bookmarkEnd w:id="21"/>
      <w:bookmarkEnd w:id="22"/>
      <w:bookmarkEnd w:id="23"/>
      <w:bookmarkEnd w:id="24"/>
      <w:bookmarkEnd w:id="25"/>
      <w:bookmarkEnd w:id="26"/>
      <w:bookmarkEnd w:id="27"/>
      <w:bookmarkEnd w:id="28"/>
    </w:p>
    <w:p w14:paraId="291340A8">
      <w:pPr>
        <w:numPr>
          <w:ilvl w:val="0"/>
          <w:numId w:val="0"/>
        </w:numPr>
        <w:ind w:leftChars="0"/>
        <w:rPr>
          <w:rFonts w:hint="eastAsia" w:ascii="仿宋" w:hAnsi="仿宋" w:eastAsia="仿宋" w:cs="仿宋"/>
          <w:b/>
          <w:bCs/>
          <w:sz w:val="24"/>
          <w:szCs w:val="24"/>
        </w:rPr>
      </w:pPr>
      <w:r>
        <w:rPr>
          <w:rFonts w:hint="eastAsia" w:ascii="仿宋" w:hAnsi="仿宋" w:eastAsia="仿宋" w:cs="仿宋"/>
          <w:b/>
          <w:bCs/>
          <w:sz w:val="24"/>
          <w:szCs w:val="24"/>
        </w:rPr>
        <w:t>请各响应人按后面格式制作响应文件，未给出格式的，响应人可自拟格式。</w:t>
      </w:r>
    </w:p>
    <w:p w14:paraId="4BE6F1AC">
      <w:pPr>
        <w:rPr>
          <w:rFonts w:hint="eastAsia" w:ascii="仿宋" w:hAnsi="仿宋" w:eastAsia="仿宋" w:cs="仿宋"/>
          <w:b/>
          <w:color w:val="000000"/>
          <w:sz w:val="24"/>
          <w:szCs w:val="24"/>
        </w:rPr>
      </w:pPr>
    </w:p>
    <w:p w14:paraId="50DDE4A9">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4145D8F2">
      <w:pPr>
        <w:pStyle w:val="29"/>
        <w:jc w:val="center"/>
        <w:rPr>
          <w:rFonts w:ascii="宋体" w:hAnsi="宋体"/>
          <w:b/>
          <w:bCs/>
          <w:sz w:val="72"/>
          <w:szCs w:val="44"/>
        </w:rPr>
      </w:pPr>
    </w:p>
    <w:p w14:paraId="2A01B62A">
      <w:pPr>
        <w:pStyle w:val="29"/>
        <w:jc w:val="center"/>
        <w:rPr>
          <w:rFonts w:ascii="宋体" w:hAnsi="宋体"/>
          <w:b/>
          <w:bCs/>
          <w:sz w:val="72"/>
          <w:szCs w:val="44"/>
        </w:rPr>
      </w:pPr>
    </w:p>
    <w:p w14:paraId="090053C1">
      <w:pPr>
        <w:pStyle w:val="29"/>
        <w:jc w:val="center"/>
        <w:rPr>
          <w:rFonts w:ascii="宋体" w:hAnsi="宋体"/>
          <w:b/>
          <w:bCs/>
          <w:sz w:val="72"/>
          <w:szCs w:val="44"/>
        </w:rPr>
      </w:pPr>
    </w:p>
    <w:p w14:paraId="38039DA3">
      <w:pPr>
        <w:pStyle w:val="29"/>
        <w:jc w:val="center"/>
        <w:rPr>
          <w:rFonts w:ascii="宋体" w:hAnsi="宋体"/>
          <w:b/>
          <w:bCs/>
          <w:sz w:val="72"/>
          <w:szCs w:val="44"/>
        </w:rPr>
      </w:pPr>
    </w:p>
    <w:p w14:paraId="4B45E5D5">
      <w:pPr>
        <w:pStyle w:val="29"/>
        <w:jc w:val="center"/>
        <w:rPr>
          <w:rFonts w:ascii="宋体" w:hAnsi="宋体"/>
          <w:b/>
          <w:bCs/>
          <w:sz w:val="72"/>
          <w:szCs w:val="44"/>
        </w:rPr>
      </w:pPr>
      <w:r>
        <w:rPr>
          <w:rFonts w:ascii="宋体" w:hAnsi="宋体"/>
          <w:b/>
          <w:bCs/>
          <w:sz w:val="72"/>
          <w:szCs w:val="44"/>
        </w:rPr>
        <w:t>响 应 文 件</w:t>
      </w:r>
    </w:p>
    <w:p w14:paraId="5D699CF8">
      <w:pPr>
        <w:pStyle w:val="29"/>
        <w:jc w:val="center"/>
        <w:rPr>
          <w:rFonts w:ascii="宋体" w:hAnsi="宋体"/>
          <w:b/>
          <w:bCs/>
          <w:sz w:val="44"/>
        </w:rPr>
      </w:pPr>
    </w:p>
    <w:p w14:paraId="54714FDD">
      <w:pPr>
        <w:pStyle w:val="29"/>
        <w:rPr>
          <w:rFonts w:ascii="宋体" w:hAnsi="宋体"/>
          <w:b/>
          <w:bCs/>
          <w:sz w:val="44"/>
        </w:rPr>
      </w:pPr>
    </w:p>
    <w:p w14:paraId="3784E446">
      <w:pPr>
        <w:pStyle w:val="29"/>
        <w:jc w:val="center"/>
        <w:rPr>
          <w:rFonts w:ascii="宋体" w:hAnsi="宋体"/>
          <w:b/>
          <w:bCs/>
          <w:sz w:val="44"/>
        </w:rPr>
      </w:pPr>
    </w:p>
    <w:p w14:paraId="4B9A28FC">
      <w:pPr>
        <w:pStyle w:val="30"/>
      </w:pPr>
    </w:p>
    <w:p w14:paraId="0C7BB0FD">
      <w:pPr>
        <w:pStyle w:val="30"/>
      </w:pPr>
    </w:p>
    <w:p w14:paraId="6D995F16">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rPr>
      </w:pPr>
      <w:r>
        <w:rPr>
          <w:rFonts w:hint="eastAsia" w:ascii="宋体" w:hAnsi="宋体"/>
          <w:b/>
          <w:sz w:val="36"/>
        </w:rPr>
        <w:t>响应项目名称：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3C202694">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u w:val="single"/>
        </w:rPr>
      </w:pPr>
      <w:r>
        <w:rPr>
          <w:rFonts w:hint="eastAsia" w:ascii="宋体" w:hAnsi="宋体"/>
          <w:b/>
          <w:sz w:val="36"/>
        </w:rPr>
        <w:t>响应项目编号：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C54A3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6"/>
          <w:u w:val="single"/>
        </w:rPr>
      </w:pPr>
      <w:r>
        <w:rPr>
          <w:rFonts w:hint="eastAsia" w:ascii="宋体" w:hAnsi="宋体"/>
          <w:b/>
          <w:sz w:val="36"/>
        </w:rPr>
        <w:t xml:space="preserve">      响应单位名称：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0D2B94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6"/>
          <w:u w:val="single"/>
        </w:rPr>
      </w:pP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7A0D0C6D">
      <w:pPr>
        <w:pStyle w:val="10"/>
        <w:rPr>
          <w:rFonts w:hint="eastAsia"/>
        </w:rPr>
      </w:pPr>
    </w:p>
    <w:p w14:paraId="5CAAE870">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rPr>
      </w:pPr>
      <w:r>
        <w:rPr>
          <w:rFonts w:hint="eastAsia" w:ascii="宋体" w:hAnsi="宋体"/>
          <w:b/>
          <w:sz w:val="36"/>
        </w:rPr>
        <w:t>授权代理人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rPr>
        <w:t xml:space="preserve">  </w:t>
      </w:r>
    </w:p>
    <w:p w14:paraId="68D293D1">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bCs/>
          <w:sz w:val="32"/>
          <w:szCs w:val="32"/>
        </w:rPr>
      </w:pPr>
      <w:r>
        <w:rPr>
          <w:rFonts w:hint="eastAsia" w:ascii="宋体" w:hAnsi="宋体"/>
          <w:b/>
          <w:sz w:val="36"/>
        </w:rPr>
        <w:t>联 系 电 话：</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621544D6">
      <w:pPr>
        <w:rPr>
          <w:rFonts w:hint="eastAsia" w:ascii="仿宋" w:hAnsi="仿宋" w:eastAsia="仿宋" w:cs="仿宋"/>
          <w:b/>
          <w:color w:val="000000"/>
          <w:sz w:val="24"/>
          <w:szCs w:val="24"/>
        </w:rPr>
      </w:pPr>
    </w:p>
    <w:p w14:paraId="43C16D28">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74A2277F">
      <w:pPr>
        <w:jc w:val="center"/>
        <w:rPr>
          <w:rFonts w:hint="eastAsia" w:ascii="宋体" w:hAnsi="宋体"/>
          <w:b/>
          <w:bCs/>
          <w:sz w:val="32"/>
          <w:szCs w:val="32"/>
        </w:rPr>
      </w:pPr>
      <w:r>
        <w:rPr>
          <w:rFonts w:hint="eastAsia" w:ascii="宋体" w:hAnsi="宋体"/>
          <w:b/>
          <w:bCs/>
          <w:sz w:val="32"/>
          <w:szCs w:val="32"/>
        </w:rPr>
        <w:t>响应文件目录</w:t>
      </w:r>
    </w:p>
    <w:p w14:paraId="6A46E7F9">
      <w:pPr>
        <w:spacing w:line="440" w:lineRule="exact"/>
        <w:jc w:val="center"/>
        <w:rPr>
          <w:rFonts w:ascii="宋体" w:hAnsi="宋体"/>
          <w:b/>
        </w:rPr>
      </w:pPr>
      <w:r>
        <w:rPr>
          <w:rFonts w:hint="eastAsia" w:ascii="宋体" w:hAnsi="宋体"/>
          <w:b/>
        </w:rPr>
        <w:t>（注：须逐项标识页码）</w:t>
      </w:r>
    </w:p>
    <w:p w14:paraId="05CFC350">
      <w:pPr>
        <w:spacing w:line="480" w:lineRule="exact"/>
        <w:rPr>
          <w:rFonts w:ascii="宋体" w:hAnsi="宋体"/>
        </w:rPr>
      </w:pPr>
    </w:p>
    <w:p w14:paraId="01A9796F">
      <w:pPr>
        <w:pStyle w:val="9"/>
        <w:ind w:left="1680" w:right="1680"/>
        <w:rPr>
          <w:rFonts w:ascii="宋体" w:hAnsi="宋体"/>
          <w:sz w:val="24"/>
          <w:szCs w:val="24"/>
        </w:rPr>
      </w:pPr>
      <w:r>
        <w:rPr>
          <w:rFonts w:hint="eastAsia" w:ascii="宋体" w:hAnsi="宋体"/>
          <w:sz w:val="24"/>
          <w:szCs w:val="24"/>
        </w:rPr>
        <w:t>请按照技术部分和商务部分要求分别制作</w:t>
      </w:r>
    </w:p>
    <w:p w14:paraId="6ECBA426">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6750479B">
      <w:pPr>
        <w:pStyle w:val="3"/>
        <w:bidi w:val="0"/>
        <w:rPr>
          <w:rFonts w:hint="eastAsia"/>
        </w:rPr>
      </w:pPr>
      <w:r>
        <w:rPr>
          <w:rFonts w:hint="eastAsia"/>
        </w:rPr>
        <w:t>附件</w:t>
      </w:r>
      <w:r>
        <w:rPr>
          <w:rFonts w:hint="eastAsia"/>
          <w:lang w:val="en-US" w:eastAsia="zh-CN"/>
        </w:rPr>
        <w:t xml:space="preserve">1 </w:t>
      </w:r>
      <w:r>
        <w:rPr>
          <w:rFonts w:hint="eastAsia"/>
        </w:rPr>
        <w:t>报价函</w:t>
      </w:r>
    </w:p>
    <w:p w14:paraId="6C9ADFD5">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报  价  函</w:t>
      </w:r>
    </w:p>
    <w:p w14:paraId="6748E570">
      <w:pPr>
        <w:pStyle w:val="6"/>
        <w:spacing w:line="360" w:lineRule="auto"/>
        <w:ind w:firstLine="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南京中医药大学</w:t>
      </w:r>
      <w:r>
        <w:rPr>
          <w:rFonts w:hint="eastAsia" w:ascii="宋体" w:hAnsi="宋体" w:cs="宋体"/>
          <w:color w:val="000000"/>
          <w:sz w:val="24"/>
          <w:szCs w:val="24"/>
          <w:highlight w:val="none"/>
          <w:u w:val="none"/>
          <w:lang w:val="en-US" w:eastAsia="zh-CN"/>
        </w:rPr>
        <w:t>泰州校区</w:t>
      </w:r>
      <w:r>
        <w:rPr>
          <w:rFonts w:hint="eastAsia" w:ascii="宋体" w:hAnsi="宋体" w:eastAsia="宋体" w:cs="宋体"/>
          <w:color w:val="000000"/>
          <w:sz w:val="24"/>
          <w:szCs w:val="24"/>
          <w:highlight w:val="none"/>
          <w:u w:val="none"/>
        </w:rPr>
        <w:t>：</w:t>
      </w:r>
    </w:p>
    <w:p w14:paraId="6B524BB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(一)根据已收到的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遴选文件，我单位将遵照项目遴选文件的规定，经认真研究遴选文件后，现作如下响应报价：</w:t>
      </w:r>
    </w:p>
    <w:p w14:paraId="4C0D67E6">
      <w:pPr>
        <w:pStyle w:val="12"/>
        <w:rPr>
          <w:rFonts w:hint="eastAsia" w:ascii="宋体" w:hAnsi="宋体" w:eastAsia="宋体" w:cs="宋体"/>
          <w:sz w:val="24"/>
          <w:szCs w:val="24"/>
        </w:rPr>
      </w:pPr>
      <w:r>
        <w:rPr>
          <w:rFonts w:hint="eastAsia" w:ascii="宋体" w:hAnsi="宋体" w:eastAsia="宋体" w:cs="宋体"/>
          <w:sz w:val="24"/>
          <w:szCs w:val="24"/>
        </w:rPr>
        <w:t>投标报价：人民币大写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p>
    <w:p w14:paraId="4E6C8160">
      <w:pPr>
        <w:pStyle w:val="10"/>
        <w:ind w:left="0" w:leftChars="0" w:firstLine="0" w:firstLineChars="0"/>
        <w:rPr>
          <w:rFonts w:hint="eastAsia" w:ascii="宋体" w:hAnsi="宋体" w:eastAsia="宋体" w:cs="宋体"/>
          <w:sz w:val="24"/>
          <w:szCs w:val="24"/>
        </w:rPr>
      </w:pPr>
    </w:p>
    <w:p w14:paraId="03801B74">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)我方决不提供虚假材料谋取成交，决不采取不正当手段诋毁、排挤其他承包商，决不与发包人、其它承包商恶意串通，决不向发包人及谈判小组进行商业贿赂。如有违反，愿</w:t>
      </w:r>
      <w:r>
        <w:rPr>
          <w:rFonts w:hint="eastAsia" w:ascii="宋体" w:hAnsi="宋体" w:eastAsia="宋体" w:cs="宋体"/>
          <w:sz w:val="24"/>
          <w:szCs w:val="24"/>
        </w:rPr>
        <w:t>无条件接受贵方及相关管理部门的处罚。</w:t>
      </w:r>
    </w:p>
    <w:p w14:paraId="48D97A76">
      <w:pPr>
        <w:pStyle w:val="10"/>
        <w:ind w:left="0" w:leftChars="0" w:firstLine="0" w:firstLineChars="0"/>
        <w:rPr>
          <w:rFonts w:hint="eastAsia" w:ascii="宋体" w:hAnsi="宋体" w:eastAsia="宋体" w:cs="宋体"/>
          <w:sz w:val="24"/>
          <w:szCs w:val="24"/>
        </w:rPr>
      </w:pPr>
    </w:p>
    <w:p w14:paraId="0D0C3059">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w:t>
      </w:r>
      <w:r>
        <w:rPr>
          <w:rFonts w:hint="eastAsia" w:ascii="宋体" w:hAnsi="宋体" w:eastAsia="宋体" w:cs="宋体"/>
          <w:sz w:val="24"/>
          <w:szCs w:val="24"/>
        </w:rPr>
        <w:t xml:space="preserve"> 贵单位的遴选文件、成交通知书和本响应文件将构成约束我们双方的合同组成部分。</w:t>
      </w:r>
    </w:p>
    <w:p w14:paraId="3C464EAE">
      <w:pPr>
        <w:spacing w:line="360" w:lineRule="auto"/>
        <w:ind w:firstLine="480" w:firstLineChars="200"/>
        <w:rPr>
          <w:rFonts w:hint="eastAsia" w:ascii="宋体" w:hAnsi="宋体" w:eastAsia="宋体" w:cs="宋体"/>
          <w:color w:val="000000"/>
          <w:sz w:val="24"/>
          <w:szCs w:val="24"/>
        </w:rPr>
      </w:pPr>
    </w:p>
    <w:p w14:paraId="638857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10AF75D3">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响应人</w:t>
      </w:r>
      <w:r>
        <w:rPr>
          <w:rFonts w:hint="eastAsia" w:ascii="宋体" w:hAnsi="宋体" w:eastAsia="宋体" w:cs="宋体"/>
          <w:color w:val="000000"/>
          <w:sz w:val="24"/>
          <w:szCs w:val="24"/>
        </w:rPr>
        <w:t>(盖法人章)：</w:t>
      </w:r>
      <w:r>
        <w:rPr>
          <w:rFonts w:hint="eastAsia" w:ascii="宋体" w:hAnsi="宋体" w:eastAsia="宋体" w:cs="宋体"/>
          <w:color w:val="000000"/>
          <w:sz w:val="24"/>
          <w:szCs w:val="24"/>
          <w:u w:val="single"/>
        </w:rPr>
        <w:t xml:space="preserve">                    </w:t>
      </w:r>
    </w:p>
    <w:p w14:paraId="74FC0D3A">
      <w:pPr>
        <w:pStyle w:val="6"/>
        <w:spacing w:line="360" w:lineRule="auto"/>
        <w:ind w:firstLine="0"/>
        <w:rPr>
          <w:rFonts w:hint="eastAsia" w:ascii="宋体" w:hAnsi="宋体" w:eastAsia="宋体" w:cs="宋体"/>
          <w:color w:val="000000"/>
          <w:sz w:val="24"/>
          <w:szCs w:val="24"/>
          <w:u w:val="single"/>
        </w:rPr>
      </w:pPr>
    </w:p>
    <w:p w14:paraId="0CA79E5A">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法定代表人或代理人(签字或盖章)：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66F4176B">
      <w:pPr>
        <w:pStyle w:val="6"/>
        <w:spacing w:line="360" w:lineRule="auto"/>
        <w:ind w:firstLine="0"/>
        <w:rPr>
          <w:rFonts w:hint="eastAsia" w:ascii="宋体" w:hAnsi="宋体" w:eastAsia="宋体" w:cs="宋体"/>
          <w:color w:val="000000"/>
          <w:sz w:val="24"/>
          <w:szCs w:val="24"/>
        </w:rPr>
      </w:pPr>
    </w:p>
    <w:p w14:paraId="65B94BE0">
      <w:pPr>
        <w:pStyle w:val="6"/>
        <w:spacing w:line="360" w:lineRule="auto"/>
        <w:ind w:firstLine="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5C0AD204">
      <w:pPr>
        <w:widowControl/>
        <w:jc w:val="left"/>
      </w:pPr>
      <w:r>
        <w:br w:type="page"/>
      </w:r>
    </w:p>
    <w:p w14:paraId="40D23F17">
      <w:pPr>
        <w:pStyle w:val="3"/>
        <w:bidi w:val="0"/>
        <w:rPr>
          <w:rFonts w:hint="eastAsia" w:ascii="黑体" w:hAnsi="宋体" w:eastAsia="黑体"/>
          <w:b/>
          <w:color w:val="000000"/>
          <w:sz w:val="30"/>
          <w:szCs w:val="30"/>
        </w:rPr>
      </w:pPr>
      <w:r>
        <w:rPr>
          <w:rFonts w:hint="eastAsia"/>
        </w:rPr>
        <w:t>附件</w:t>
      </w:r>
      <w:r>
        <w:rPr>
          <w:rFonts w:hint="eastAsia"/>
          <w:lang w:val="en-US" w:eastAsia="zh-CN"/>
        </w:rPr>
        <w:t xml:space="preserve">2 </w:t>
      </w:r>
      <w:r>
        <w:rPr>
          <w:rFonts w:hint="eastAsia"/>
        </w:rPr>
        <w:t>法定代表人资格证明书</w:t>
      </w:r>
    </w:p>
    <w:p w14:paraId="74BE791A">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法定代表人资格证明书</w:t>
      </w:r>
    </w:p>
    <w:p w14:paraId="17E8C833">
      <w:pPr>
        <w:spacing w:line="360" w:lineRule="auto"/>
        <w:rPr>
          <w:rFonts w:hint="eastAsia" w:ascii="宋体" w:hAnsi="宋体"/>
          <w:color w:val="000000"/>
          <w:sz w:val="24"/>
          <w:szCs w:val="24"/>
        </w:rPr>
      </w:pPr>
      <w:r>
        <w:rPr>
          <w:rFonts w:hint="eastAsia" w:ascii="宋体" w:hAnsi="宋体"/>
          <w:color w:val="000000"/>
          <w:sz w:val="24"/>
          <w:szCs w:val="24"/>
        </w:rPr>
        <w:t>单位名称：</w:t>
      </w:r>
    </w:p>
    <w:p w14:paraId="28AE6CDE">
      <w:pPr>
        <w:spacing w:line="360" w:lineRule="auto"/>
        <w:rPr>
          <w:rFonts w:hint="eastAsia" w:ascii="宋体" w:hAnsi="宋体"/>
          <w:color w:val="000000"/>
          <w:sz w:val="24"/>
          <w:szCs w:val="24"/>
        </w:rPr>
      </w:pPr>
      <w:r>
        <w:rPr>
          <w:rFonts w:hint="eastAsia" w:ascii="宋体" w:hAnsi="宋体"/>
          <w:color w:val="000000"/>
          <w:sz w:val="24"/>
          <w:szCs w:val="24"/>
        </w:rPr>
        <w:t>地址：</w:t>
      </w:r>
    </w:p>
    <w:p w14:paraId="3719F1E3">
      <w:pPr>
        <w:spacing w:line="360" w:lineRule="auto"/>
        <w:rPr>
          <w:rFonts w:hint="eastAsia"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r>
        <w:rPr>
          <w:rFonts w:hint="eastAsia" w:ascii="宋体" w:hAnsi="宋体"/>
          <w:color w:val="000000"/>
          <w:sz w:val="24"/>
          <w:szCs w:val="24"/>
          <w:u w:val="single"/>
        </w:rPr>
        <w:t xml:space="preserve">           </w:t>
      </w:r>
      <w:r>
        <w:rPr>
          <w:rFonts w:hint="eastAsia" w:ascii="宋体" w:hAnsi="宋体"/>
          <w:color w:val="000000"/>
          <w:sz w:val="24"/>
          <w:szCs w:val="24"/>
        </w:rPr>
        <w:t>年龄：</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r>
        <w:rPr>
          <w:rFonts w:hint="eastAsia" w:ascii="宋体" w:hAnsi="宋体"/>
          <w:color w:val="000000"/>
          <w:sz w:val="24"/>
          <w:szCs w:val="24"/>
        </w:rPr>
        <w:t>系</w:t>
      </w:r>
      <w:r>
        <w:rPr>
          <w:rFonts w:hint="eastAsia" w:ascii="宋体" w:hAnsi="宋体"/>
          <w:color w:val="000000"/>
          <w:sz w:val="24"/>
          <w:szCs w:val="24"/>
          <w:u w:val="single"/>
        </w:rPr>
        <w:t xml:space="preserve">  </w:t>
      </w:r>
    </w:p>
    <w:p w14:paraId="4500995B">
      <w:pPr>
        <w:spacing w:line="360" w:lineRule="auto"/>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的法定代表人。为签署</w:t>
      </w:r>
      <w:r>
        <w:rPr>
          <w:rFonts w:hint="eastAsia" w:ascii="宋体" w:hAnsi="宋体"/>
          <w:color w:val="000000"/>
          <w:sz w:val="24"/>
          <w:szCs w:val="24"/>
          <w:u w:val="single"/>
        </w:rPr>
        <w:t xml:space="preserve">                  </w:t>
      </w:r>
      <w:r>
        <w:rPr>
          <w:rFonts w:hint="eastAsia" w:ascii="宋体" w:hAnsi="宋体"/>
          <w:color w:val="000000"/>
          <w:sz w:val="24"/>
          <w:szCs w:val="24"/>
        </w:rPr>
        <w:t>项目的响应文件进行投标遴选、合同谈判、签署合同和处理与之有关的一切事务。</w:t>
      </w:r>
    </w:p>
    <w:p w14:paraId="365F16D6">
      <w:pPr>
        <w:spacing w:line="360" w:lineRule="auto"/>
        <w:ind w:firstLine="480"/>
        <w:rPr>
          <w:rFonts w:hint="eastAsia" w:ascii="宋体" w:hAnsi="宋体"/>
          <w:color w:val="000000"/>
          <w:sz w:val="24"/>
          <w:szCs w:val="24"/>
        </w:rPr>
      </w:pPr>
      <w:r>
        <w:rPr>
          <w:rFonts w:hint="eastAsia" w:ascii="宋体" w:hAnsi="宋体"/>
          <w:color w:val="000000"/>
          <w:sz w:val="24"/>
          <w:szCs w:val="24"/>
        </w:rPr>
        <w:t>特此证明。</w:t>
      </w:r>
    </w:p>
    <w:p w14:paraId="6B37DACA">
      <w:pPr>
        <w:spacing w:line="360" w:lineRule="auto"/>
        <w:rPr>
          <w:rFonts w:hint="eastAsia" w:ascii="宋体" w:hAnsi="宋体"/>
          <w:color w:val="000000"/>
          <w:sz w:val="24"/>
          <w:szCs w:val="24"/>
        </w:rPr>
      </w:pPr>
    </w:p>
    <w:p w14:paraId="0CD51521">
      <w:pPr>
        <w:spacing w:line="360" w:lineRule="auto"/>
        <w:rPr>
          <w:rFonts w:hint="eastAsia" w:ascii="宋体" w:hAnsi="宋体"/>
          <w:color w:val="000000"/>
          <w:sz w:val="24"/>
          <w:szCs w:val="24"/>
        </w:rPr>
      </w:pPr>
      <w:r>
        <w:rPr>
          <w:rFonts w:hint="eastAsia" w:ascii="宋体" w:hAnsi="宋体"/>
          <w:color w:val="000000"/>
          <w:sz w:val="24"/>
          <w:szCs w:val="24"/>
        </w:rPr>
        <w:t>附：法定代表人身份证复印件。</w:t>
      </w:r>
    </w:p>
    <w:p w14:paraId="3793C27F">
      <w:pPr>
        <w:spacing w:line="360" w:lineRule="auto"/>
        <w:rPr>
          <w:rFonts w:hint="eastAsia" w:ascii="宋体" w:hAnsi="宋体"/>
          <w:color w:val="000000"/>
          <w:sz w:val="24"/>
          <w:szCs w:val="24"/>
        </w:rPr>
      </w:pPr>
    </w:p>
    <w:p w14:paraId="54C5C3F9">
      <w:pPr>
        <w:spacing w:line="360" w:lineRule="auto"/>
        <w:rPr>
          <w:rFonts w:hint="eastAsia" w:ascii="宋体" w:hAnsi="宋体"/>
          <w:color w:val="000000"/>
          <w:sz w:val="24"/>
          <w:szCs w:val="24"/>
        </w:rPr>
      </w:pPr>
      <w:r>
        <w:rPr>
          <w:rFonts w:hint="eastAsia" w:ascii="宋体" w:hAnsi="宋体"/>
          <w:color w:val="000000"/>
          <w:sz w:val="24"/>
          <w:szCs w:val="24"/>
        </w:rPr>
        <w:t>注：本身份证明需由投标人加盖单位公章。</w:t>
      </w:r>
    </w:p>
    <w:p w14:paraId="59E7763B">
      <w:pPr>
        <w:pStyle w:val="10"/>
        <w:ind w:left="0" w:leftChars="0" w:firstLine="0" w:firstLineChars="0"/>
        <w:rPr>
          <w:rFonts w:hint="eastAsia"/>
        </w:rPr>
      </w:pPr>
    </w:p>
    <w:p w14:paraId="3AEA9C82">
      <w:pPr>
        <w:spacing w:line="360" w:lineRule="auto"/>
        <w:ind w:firstLine="480"/>
        <w:jc w:val="right"/>
        <w:rPr>
          <w:rFonts w:hint="eastAsia" w:ascii="宋体" w:hAnsi="宋体"/>
          <w:color w:val="000000"/>
          <w:sz w:val="24"/>
          <w:szCs w:val="24"/>
        </w:rPr>
      </w:pPr>
      <w:r>
        <w:rPr>
          <w:rFonts w:hint="eastAsia" w:ascii="宋体" w:hAnsi="宋体"/>
          <w:color w:val="000000"/>
          <w:sz w:val="24"/>
          <w:szCs w:val="24"/>
        </w:rPr>
        <w:t>响应人：（盖章）</w:t>
      </w:r>
    </w:p>
    <w:p w14:paraId="114C6C28">
      <w:pPr>
        <w:spacing w:line="360" w:lineRule="auto"/>
        <w:ind w:firstLine="480"/>
        <w:jc w:val="right"/>
        <w:rPr>
          <w:rFonts w:hint="eastAsia" w:ascii="宋体" w:hAnsi="宋体"/>
          <w:color w:val="000000"/>
          <w:sz w:val="24"/>
          <w:szCs w:val="24"/>
        </w:rPr>
      </w:pPr>
      <w:r>
        <w:rPr>
          <w:rFonts w:hint="eastAsia" w:ascii="宋体" w:hAnsi="宋体"/>
          <w:color w:val="000000"/>
          <w:sz w:val="24"/>
          <w:szCs w:val="24"/>
        </w:rPr>
        <w:t>日期：    年    月    日</w:t>
      </w:r>
    </w:p>
    <w:p w14:paraId="1C0FFC28">
      <w:pPr>
        <w:spacing w:line="360" w:lineRule="auto"/>
        <w:jc w:val="center"/>
        <w:rPr>
          <w:rFonts w:hint="eastAsia" w:ascii="黑体" w:hAnsi="宋体" w:eastAsia="黑体"/>
          <w:b/>
          <w:color w:val="000000"/>
          <w:sz w:val="30"/>
          <w:szCs w:val="30"/>
        </w:rPr>
      </w:pPr>
    </w:p>
    <w:p w14:paraId="25C83DD4">
      <w:pPr>
        <w:rPr>
          <w:rFonts w:hint="eastAsia" w:ascii="黑体" w:hAnsi="宋体" w:eastAsia="黑体"/>
          <w:b/>
          <w:color w:val="000000"/>
          <w:sz w:val="30"/>
          <w:szCs w:val="30"/>
        </w:rPr>
      </w:pPr>
      <w:r>
        <w:rPr>
          <w:rFonts w:hint="eastAsia" w:ascii="黑体" w:hAnsi="宋体" w:eastAsia="黑体"/>
          <w:b/>
          <w:color w:val="000000"/>
          <w:sz w:val="30"/>
          <w:szCs w:val="30"/>
        </w:rPr>
        <w:br w:type="page"/>
      </w:r>
    </w:p>
    <w:p w14:paraId="79BABA0D">
      <w:pPr>
        <w:pStyle w:val="3"/>
        <w:bidi w:val="0"/>
        <w:rPr>
          <w:rFonts w:hint="eastAsia" w:ascii="黑体" w:hAnsi="宋体" w:eastAsia="黑体"/>
          <w:b/>
          <w:color w:val="000000"/>
          <w:sz w:val="30"/>
          <w:szCs w:val="30"/>
        </w:rPr>
      </w:pPr>
      <w:r>
        <w:rPr>
          <w:rFonts w:hint="eastAsia"/>
        </w:rPr>
        <w:t>附件</w:t>
      </w:r>
      <w:r>
        <w:rPr>
          <w:rFonts w:hint="eastAsia"/>
          <w:lang w:val="en-US" w:eastAsia="zh-CN"/>
        </w:rPr>
        <w:t xml:space="preserve">3 </w:t>
      </w:r>
      <w:r>
        <w:rPr>
          <w:rFonts w:hint="eastAsia"/>
        </w:rPr>
        <w:t>授权委托书</w:t>
      </w:r>
    </w:p>
    <w:p w14:paraId="4E02093D">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授权委托书</w:t>
      </w:r>
    </w:p>
    <w:p w14:paraId="457F1A75">
      <w:pPr>
        <w:spacing w:line="360" w:lineRule="auto"/>
        <w:ind w:firstLine="480"/>
        <w:rPr>
          <w:rFonts w:hint="eastAsia" w:ascii="宋体" w:hAnsi="宋体"/>
          <w:color w:val="000000"/>
          <w:sz w:val="24"/>
          <w:szCs w:val="24"/>
        </w:rPr>
      </w:pPr>
      <w:r>
        <w:rPr>
          <w:rFonts w:hint="eastAsia" w:ascii="宋体" w:hAnsi="宋体"/>
          <w:color w:val="000000"/>
          <w:sz w:val="24"/>
          <w:szCs w:val="24"/>
        </w:rPr>
        <w:t>本授权委托书声明：我</w:t>
      </w:r>
      <w:r>
        <w:rPr>
          <w:rFonts w:hint="eastAsia" w:ascii="宋体" w:hAnsi="宋体"/>
          <w:color w:val="000000"/>
          <w:sz w:val="24"/>
          <w:szCs w:val="24"/>
          <w:u w:val="single"/>
        </w:rPr>
        <w:t xml:space="preserve">            </w:t>
      </w:r>
      <w:r>
        <w:rPr>
          <w:rFonts w:hint="eastAsia" w:ascii="宋体" w:hAnsi="宋体"/>
          <w:color w:val="000000"/>
          <w:sz w:val="24"/>
          <w:szCs w:val="24"/>
        </w:rPr>
        <w:t>（姓名）系</w:t>
      </w:r>
      <w:r>
        <w:rPr>
          <w:rFonts w:hint="eastAsia" w:ascii="宋体" w:hAnsi="宋体"/>
          <w:color w:val="000000"/>
          <w:sz w:val="24"/>
          <w:szCs w:val="24"/>
          <w:u w:val="single"/>
        </w:rPr>
        <w:t xml:space="preserve">            </w:t>
      </w:r>
      <w:r>
        <w:rPr>
          <w:rFonts w:hint="eastAsia" w:ascii="宋体" w:hAnsi="宋体"/>
          <w:color w:val="000000"/>
          <w:sz w:val="24"/>
          <w:szCs w:val="24"/>
        </w:rPr>
        <w:t>（响应人名称）的法定代表人，现授权委托</w:t>
      </w:r>
      <w:r>
        <w:rPr>
          <w:rFonts w:hint="eastAsia" w:ascii="宋体" w:hAnsi="宋体"/>
          <w:color w:val="000000"/>
          <w:sz w:val="24"/>
          <w:szCs w:val="24"/>
          <w:u w:val="single"/>
        </w:rPr>
        <w:t xml:space="preserve">            </w:t>
      </w:r>
      <w:r>
        <w:rPr>
          <w:rFonts w:hint="eastAsia" w:ascii="宋体" w:hAnsi="宋体"/>
          <w:color w:val="000000"/>
          <w:sz w:val="24"/>
          <w:szCs w:val="24"/>
        </w:rPr>
        <w:t>（单位名称）的</w:t>
      </w:r>
      <w:r>
        <w:rPr>
          <w:rFonts w:hint="eastAsia" w:ascii="宋体" w:hAnsi="宋体"/>
          <w:color w:val="000000"/>
          <w:sz w:val="24"/>
          <w:szCs w:val="24"/>
          <w:u w:val="single"/>
        </w:rPr>
        <w:t xml:space="preserve">             </w:t>
      </w:r>
      <w:r>
        <w:rPr>
          <w:rFonts w:hint="eastAsia" w:ascii="宋体" w:hAnsi="宋体"/>
          <w:color w:val="000000"/>
          <w:sz w:val="24"/>
          <w:szCs w:val="24"/>
        </w:rPr>
        <w:t>（姓名）为我公司代理人，参加</w:t>
      </w:r>
      <w:r>
        <w:rPr>
          <w:rFonts w:hint="eastAsia" w:ascii="宋体" w:hAnsi="宋体"/>
          <w:color w:val="000000"/>
          <w:sz w:val="24"/>
          <w:szCs w:val="24"/>
          <w:u w:val="single"/>
        </w:rPr>
        <w:t xml:space="preserve">           </w:t>
      </w:r>
      <w:r>
        <w:rPr>
          <w:rFonts w:hint="eastAsia" w:ascii="宋体" w:hAnsi="宋体"/>
          <w:color w:val="000000"/>
          <w:sz w:val="24"/>
          <w:szCs w:val="24"/>
        </w:rPr>
        <w:t>（采购人）的</w:t>
      </w:r>
      <w:r>
        <w:rPr>
          <w:rFonts w:hint="eastAsia" w:ascii="宋体" w:hAnsi="宋体"/>
          <w:color w:val="000000"/>
          <w:sz w:val="24"/>
          <w:szCs w:val="24"/>
          <w:u w:val="single"/>
        </w:rPr>
        <w:t xml:space="preserve">               </w:t>
      </w:r>
      <w:r>
        <w:rPr>
          <w:rFonts w:hint="eastAsia" w:ascii="宋体" w:hAnsi="宋体"/>
          <w:color w:val="000000"/>
          <w:sz w:val="24"/>
          <w:szCs w:val="24"/>
        </w:rPr>
        <w:t>项目的报价活动。代理人在报价、评审、合同谈判过程中所签署的一切文件和处理与之有关的一切事务，我均予以承认。</w:t>
      </w:r>
    </w:p>
    <w:p w14:paraId="34C1CFC2">
      <w:pPr>
        <w:spacing w:line="360" w:lineRule="auto"/>
        <w:ind w:firstLine="480"/>
        <w:rPr>
          <w:rFonts w:hint="eastAsia" w:ascii="宋体" w:hAnsi="宋体"/>
          <w:color w:val="000000"/>
          <w:sz w:val="24"/>
          <w:szCs w:val="24"/>
        </w:rPr>
      </w:pPr>
    </w:p>
    <w:p w14:paraId="04DA20AD">
      <w:pPr>
        <w:spacing w:line="360" w:lineRule="auto"/>
        <w:ind w:firstLine="480"/>
        <w:rPr>
          <w:rFonts w:hint="eastAsia" w:ascii="宋体" w:hAnsi="宋体"/>
          <w:color w:val="000000"/>
          <w:sz w:val="24"/>
          <w:szCs w:val="24"/>
        </w:rPr>
      </w:pPr>
      <w:r>
        <w:rPr>
          <w:rFonts w:hint="eastAsia" w:ascii="宋体" w:hAnsi="宋体"/>
          <w:color w:val="000000"/>
          <w:sz w:val="24"/>
          <w:szCs w:val="24"/>
        </w:rPr>
        <w:t>代理人无转委权。特此委托。</w:t>
      </w:r>
    </w:p>
    <w:p w14:paraId="0A50FC5E">
      <w:pPr>
        <w:spacing w:line="360" w:lineRule="auto"/>
        <w:ind w:firstLine="480"/>
        <w:rPr>
          <w:rFonts w:hint="eastAsia" w:ascii="宋体" w:hAnsi="宋体"/>
          <w:color w:val="000000"/>
          <w:sz w:val="24"/>
          <w:szCs w:val="24"/>
        </w:rPr>
      </w:pPr>
    </w:p>
    <w:p w14:paraId="283761FC">
      <w:pPr>
        <w:spacing w:line="360" w:lineRule="auto"/>
        <w:ind w:firstLine="480"/>
        <w:rPr>
          <w:rFonts w:hint="eastAsia" w:ascii="宋体" w:hAnsi="宋体"/>
          <w:color w:val="000000"/>
          <w:sz w:val="24"/>
          <w:szCs w:val="24"/>
        </w:rPr>
      </w:pPr>
      <w:r>
        <w:rPr>
          <w:rFonts w:hint="eastAsia" w:ascii="宋体" w:hAnsi="宋体"/>
          <w:color w:val="000000"/>
          <w:sz w:val="24"/>
          <w:szCs w:val="24"/>
        </w:rPr>
        <w:t>代理人签名（手写）：            性别：                      年龄：</w:t>
      </w:r>
    </w:p>
    <w:p w14:paraId="57C4F847">
      <w:pPr>
        <w:spacing w:line="360" w:lineRule="auto"/>
        <w:ind w:firstLine="480"/>
        <w:rPr>
          <w:rFonts w:hint="eastAsia" w:ascii="宋体" w:hAnsi="宋体"/>
          <w:color w:val="000000"/>
          <w:sz w:val="24"/>
          <w:szCs w:val="24"/>
        </w:rPr>
      </w:pPr>
      <w:r>
        <w:rPr>
          <w:rFonts w:hint="eastAsia" w:ascii="宋体" w:hAnsi="宋体"/>
          <w:color w:val="000000"/>
          <w:sz w:val="24"/>
          <w:szCs w:val="24"/>
        </w:rPr>
        <w:t>身份证号码：                    部门：                      职务：</w:t>
      </w:r>
    </w:p>
    <w:p w14:paraId="5CCC44A8">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14:paraId="6776BB76">
      <w:pPr>
        <w:spacing w:line="360" w:lineRule="auto"/>
        <w:ind w:firstLine="480"/>
        <w:rPr>
          <w:rFonts w:hint="eastAsia" w:ascii="宋体" w:hAnsi="宋体"/>
          <w:color w:val="000000"/>
          <w:sz w:val="24"/>
          <w:szCs w:val="24"/>
        </w:rPr>
      </w:pPr>
    </w:p>
    <w:p w14:paraId="24F3B608">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响应人：（盖章）</w:t>
      </w:r>
    </w:p>
    <w:p w14:paraId="32B2B256">
      <w:pPr>
        <w:spacing w:line="360" w:lineRule="auto"/>
        <w:ind w:firstLine="480"/>
        <w:rPr>
          <w:rFonts w:hint="eastAsia" w:ascii="宋体" w:hAnsi="宋体"/>
          <w:color w:val="000000"/>
          <w:sz w:val="24"/>
          <w:szCs w:val="24"/>
        </w:rPr>
      </w:pPr>
    </w:p>
    <w:p w14:paraId="10E9E5EE">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法定代表人：（签字或盖章）</w:t>
      </w:r>
    </w:p>
    <w:p w14:paraId="5B352B5C">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14:paraId="3ACAF25E">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授权日期：  年   月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日</w:t>
      </w:r>
    </w:p>
    <w:p w14:paraId="4CCBF171">
      <w:pPr>
        <w:pStyle w:val="10"/>
        <w:ind w:left="0" w:leftChars="0" w:firstLine="0" w:firstLineChars="0"/>
        <w:rPr>
          <w:rFonts w:hint="eastAsia" w:ascii="宋体" w:hAnsi="宋体" w:eastAsia="宋体" w:cs="宋体"/>
        </w:rPr>
      </w:pPr>
    </w:p>
    <w:p w14:paraId="56A2C3F6">
      <w:pPr>
        <w:spacing w:line="360" w:lineRule="auto"/>
        <w:ind w:firstLine="435"/>
        <w:rPr>
          <w:rFonts w:hint="eastAsia" w:ascii="宋体" w:hAnsi="宋体" w:eastAsia="宋体" w:cs="宋体"/>
          <w:b/>
          <w:color w:val="000000"/>
          <w:sz w:val="24"/>
          <w:szCs w:val="24"/>
        </w:rPr>
      </w:pPr>
      <w:bookmarkStart w:id="29" w:name="_Toc2917"/>
      <w:bookmarkStart w:id="30" w:name="_Toc48791229"/>
      <w:bookmarkStart w:id="31" w:name="_Toc49019230"/>
      <w:bookmarkStart w:id="32" w:name="_Toc47418249"/>
      <w:bookmarkStart w:id="33" w:name="_Toc480201003"/>
      <w:bookmarkStart w:id="34" w:name="_Toc47261684"/>
      <w:bookmarkStart w:id="35" w:name="_Toc48995845"/>
      <w:bookmarkStart w:id="36" w:name="_Toc47261879"/>
      <w:bookmarkStart w:id="37" w:name="_Toc4466"/>
      <w:bookmarkStart w:id="38" w:name="_Toc47418725"/>
      <w:bookmarkStart w:id="39" w:name="_Toc4660"/>
      <w:bookmarkStart w:id="40" w:name="_Toc47418932"/>
      <w:bookmarkStart w:id="41" w:name="_Toc47262063"/>
      <w:bookmarkStart w:id="42" w:name="_Toc17321"/>
      <w:bookmarkStart w:id="43" w:name="_Toc13452"/>
      <w:bookmarkStart w:id="44" w:name="_Toc24808"/>
      <w:r>
        <w:rPr>
          <w:rFonts w:hint="eastAsia" w:ascii="宋体" w:hAnsi="宋体" w:eastAsia="宋体" w:cs="宋体"/>
          <w:b/>
          <w:color w:val="000000"/>
          <w:sz w:val="24"/>
          <w:szCs w:val="24"/>
        </w:rPr>
        <w:t>后附：</w:t>
      </w:r>
      <w:r>
        <w:rPr>
          <w:rFonts w:hint="eastAsia" w:ascii="宋体" w:hAnsi="宋体" w:eastAsia="宋体" w:cs="宋体"/>
          <w:b/>
          <w:color w:val="000000"/>
          <w:sz w:val="24"/>
          <w:szCs w:val="24"/>
          <w:lang w:val="en-US" w:eastAsia="zh-CN"/>
        </w:rPr>
        <w:t>代理</w:t>
      </w:r>
      <w:r>
        <w:rPr>
          <w:rFonts w:hint="eastAsia" w:ascii="宋体" w:hAnsi="宋体" w:eastAsia="宋体" w:cs="宋体"/>
          <w:b/>
          <w:color w:val="000000"/>
          <w:sz w:val="24"/>
          <w:szCs w:val="24"/>
        </w:rPr>
        <w:t>人身份证复印件</w:t>
      </w:r>
    </w:p>
    <w:p w14:paraId="7E2A0172">
      <w:pPr>
        <w:rPr>
          <w:rFonts w:hint="eastAsia"/>
        </w:rPr>
      </w:pPr>
      <w:r>
        <w:rPr>
          <w:rFonts w:hint="eastAsia"/>
        </w:rPr>
        <w:br w:type="page"/>
      </w:r>
    </w:p>
    <w:p w14:paraId="67C8C649">
      <w:pPr>
        <w:pStyle w:val="3"/>
        <w:bidi w:val="0"/>
        <w:rPr>
          <w:rFonts w:hint="eastAsia"/>
        </w:rPr>
      </w:pPr>
      <w:r>
        <w:rPr>
          <w:rFonts w:hint="eastAsia"/>
        </w:rPr>
        <w:t>附件</w:t>
      </w:r>
      <w:r>
        <w:rPr>
          <w:rFonts w:hint="eastAsia"/>
          <w:lang w:val="en-US" w:eastAsia="zh-CN"/>
        </w:rPr>
        <w:t>4 报价</w:t>
      </w:r>
      <w:r>
        <w:rPr>
          <w:rFonts w:hint="eastAsia"/>
        </w:rPr>
        <w:t>一览表格式</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B3FFF8F">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报价一览表</w:t>
      </w:r>
    </w:p>
    <w:p w14:paraId="3B89D94A">
      <w:pPr>
        <w:jc w:val="center"/>
        <w:rPr>
          <w:rFonts w:hint="eastAsia" w:ascii="宋体" w:hAnsi="宋体" w:eastAsia="宋体" w:cs="宋体"/>
          <w:b/>
          <w:bCs/>
          <w:color w:val="000000"/>
          <w:sz w:val="24"/>
          <w:szCs w:val="24"/>
        </w:rPr>
      </w:pPr>
    </w:p>
    <w:p w14:paraId="04CAB36D">
      <w:pPr>
        <w:rPr>
          <w:rFonts w:hint="eastAsia" w:ascii="宋体" w:hAnsi="宋体" w:eastAsia="宋体" w:cs="宋体"/>
          <w:color w:val="000000"/>
          <w:sz w:val="24"/>
          <w:szCs w:val="24"/>
        </w:rPr>
      </w:pPr>
      <w:r>
        <w:rPr>
          <w:rFonts w:hint="eastAsia" w:ascii="宋体" w:hAnsi="宋体" w:eastAsia="宋体" w:cs="宋体"/>
          <w:color w:val="000000"/>
          <w:sz w:val="24"/>
          <w:szCs w:val="24"/>
        </w:rPr>
        <w:t>投标人名称：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项目名称：</w:t>
      </w:r>
      <w:r>
        <w:rPr>
          <w:rFonts w:hint="eastAsia" w:ascii="宋体" w:hAnsi="宋体" w:eastAsia="宋体" w:cs="宋体"/>
          <w:color w:val="000000"/>
          <w:sz w:val="24"/>
          <w:szCs w:val="24"/>
          <w:u w:val="single"/>
        </w:rPr>
        <w:t xml:space="preserve">                       </w:t>
      </w:r>
    </w:p>
    <w:tbl>
      <w:tblPr>
        <w:tblStyle w:val="19"/>
        <w:tblW w:w="8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279"/>
        <w:gridCol w:w="1882"/>
        <w:gridCol w:w="1336"/>
      </w:tblGrid>
      <w:tr w14:paraId="4F5E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716" w:type="dxa"/>
            <w:noWrap w:val="0"/>
            <w:vAlign w:val="center"/>
          </w:tcPr>
          <w:p w14:paraId="435A2A14">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279" w:type="dxa"/>
            <w:noWrap w:val="0"/>
            <w:vAlign w:val="center"/>
          </w:tcPr>
          <w:p w14:paraId="1FD5CBBB">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投标总价</w:t>
            </w:r>
          </w:p>
          <w:p w14:paraId="3F1C492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1882" w:type="dxa"/>
            <w:noWrap w:val="0"/>
            <w:vAlign w:val="center"/>
          </w:tcPr>
          <w:p w14:paraId="6F900CDD">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服务时间</w:t>
            </w:r>
          </w:p>
        </w:tc>
        <w:tc>
          <w:tcPr>
            <w:tcW w:w="1336" w:type="dxa"/>
            <w:noWrap w:val="0"/>
            <w:vAlign w:val="center"/>
          </w:tcPr>
          <w:p w14:paraId="78326738">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11C5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716" w:type="dxa"/>
            <w:noWrap w:val="0"/>
            <w:vAlign w:val="center"/>
          </w:tcPr>
          <w:p w14:paraId="3CEAFAB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4279" w:type="dxa"/>
            <w:noWrap w:val="0"/>
            <w:vAlign w:val="center"/>
          </w:tcPr>
          <w:p w14:paraId="39E03ACF">
            <w:pPr>
              <w:keepNext w:val="0"/>
              <w:keepLines w:val="0"/>
              <w:suppressLineNumbers w:val="0"/>
              <w:spacing w:before="0" w:beforeAutospacing="0" w:after="0" w:afterAutospacing="0"/>
              <w:ind w:left="0" w:right="0"/>
              <w:rPr>
                <w:rFonts w:hint="eastAsia" w:ascii="宋体" w:hAnsi="宋体" w:eastAsia="宋体" w:cs="宋体"/>
                <w:color w:val="000000"/>
                <w:sz w:val="24"/>
                <w:szCs w:val="24"/>
                <w:u w:val="single"/>
              </w:rPr>
            </w:pPr>
            <w:r>
              <w:rPr>
                <w:rFonts w:hint="eastAsia" w:ascii="宋体" w:hAnsi="宋体" w:eastAsia="宋体" w:cs="宋体"/>
                <w:color w:val="000000"/>
                <w:sz w:val="24"/>
                <w:szCs w:val="24"/>
              </w:rPr>
              <w:t>人民币：</w:t>
            </w:r>
            <w:r>
              <w:rPr>
                <w:rFonts w:hint="eastAsia" w:ascii="宋体" w:hAnsi="宋体" w:eastAsia="宋体" w:cs="宋体"/>
                <w:color w:val="000000"/>
                <w:sz w:val="24"/>
                <w:szCs w:val="24"/>
                <w:u w:val="single"/>
              </w:rPr>
              <w:t xml:space="preserve">                                        </w:t>
            </w:r>
          </w:p>
          <w:p w14:paraId="2B89AAE2">
            <w:pPr>
              <w:keepNext w:val="0"/>
              <w:keepLines w:val="0"/>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大写金额：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tc>
        <w:tc>
          <w:tcPr>
            <w:tcW w:w="1882" w:type="dxa"/>
            <w:noWrap w:val="0"/>
            <w:vAlign w:val="center"/>
          </w:tcPr>
          <w:p w14:paraId="143469EE">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336" w:type="dxa"/>
            <w:noWrap w:val="0"/>
            <w:vAlign w:val="center"/>
          </w:tcPr>
          <w:p w14:paraId="6D460927">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bl>
    <w:p w14:paraId="1BE74560">
      <w:pPr>
        <w:rPr>
          <w:rFonts w:hint="eastAsia" w:ascii="宋体" w:hAnsi="宋体" w:eastAsia="宋体" w:cs="宋体"/>
          <w:color w:val="000000"/>
          <w:sz w:val="24"/>
          <w:szCs w:val="24"/>
        </w:rPr>
      </w:pPr>
    </w:p>
    <w:p w14:paraId="333B7C0C">
      <w:pPr>
        <w:pStyle w:val="6"/>
        <w:spacing w:line="360" w:lineRule="auto"/>
        <w:ind w:firstLine="0"/>
        <w:rPr>
          <w:rFonts w:hint="eastAsia" w:ascii="宋体" w:hAnsi="宋体" w:eastAsia="宋体" w:cs="宋体"/>
          <w:color w:val="000000"/>
          <w:sz w:val="24"/>
          <w:szCs w:val="24"/>
          <w:lang w:val="en-US" w:eastAsia="zh-CN"/>
        </w:rPr>
      </w:pPr>
      <w:bookmarkStart w:id="45" w:name="_Toc21253"/>
      <w:bookmarkStart w:id="46" w:name="_Toc12302"/>
      <w:bookmarkStart w:id="47" w:name="_Toc21234"/>
      <w:bookmarkStart w:id="48" w:name="_Toc16011"/>
      <w:bookmarkStart w:id="49" w:name="_Toc21655"/>
      <w:bookmarkStart w:id="50" w:name="_Toc480201004"/>
      <w:bookmarkStart w:id="51" w:name="_Toc4061"/>
      <w:bookmarkStart w:id="52" w:name="_Toc49019231"/>
      <w:bookmarkStart w:id="53" w:name="_Toc47261880"/>
      <w:bookmarkStart w:id="54" w:name="_Toc48995846"/>
      <w:bookmarkStart w:id="55" w:name="_Toc47418250"/>
      <w:bookmarkStart w:id="56" w:name="_Toc47418726"/>
      <w:bookmarkStart w:id="57" w:name="_Toc47262064"/>
      <w:bookmarkStart w:id="58" w:name="_Toc47261685"/>
      <w:bookmarkStart w:id="59" w:name="_Toc48791230"/>
      <w:bookmarkStart w:id="60" w:name="_Toc47418933"/>
      <w:r>
        <w:rPr>
          <w:rFonts w:hint="eastAsia" w:ascii="宋体" w:hAnsi="宋体" w:eastAsia="宋体" w:cs="宋体"/>
          <w:color w:val="000000"/>
          <w:sz w:val="24"/>
          <w:szCs w:val="24"/>
          <w:lang w:val="en-US" w:eastAsia="zh-CN"/>
        </w:rPr>
        <w:t xml:space="preserve">响应人(盖章)：                    </w:t>
      </w:r>
    </w:p>
    <w:p w14:paraId="5CBEA05F">
      <w:pPr>
        <w:pStyle w:val="6"/>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法定代表人或代理人(签字或盖章)：                         </w:t>
      </w:r>
    </w:p>
    <w:p w14:paraId="32278F95">
      <w:pPr>
        <w:rPr>
          <w:rFonts w:hint="eastAsia" w:ascii="仿宋" w:hAnsi="仿宋" w:eastAsia="仿宋" w:cs="仿宋"/>
          <w:b/>
          <w:bCs/>
          <w:color w:val="000000"/>
          <w:sz w:val="24"/>
          <w:szCs w:val="24"/>
          <w:u w:val="single"/>
        </w:rPr>
      </w:pPr>
      <w:r>
        <w:rPr>
          <w:rFonts w:hint="eastAsia" w:ascii="仿宋" w:hAnsi="仿宋" w:eastAsia="仿宋" w:cs="仿宋"/>
          <w:color w:val="000000"/>
          <w:sz w:val="24"/>
          <w:szCs w:val="24"/>
        </w:rPr>
        <w:br w:type="page"/>
      </w:r>
      <w:bookmarkEnd w:id="45"/>
      <w:bookmarkEnd w:id="46"/>
      <w:bookmarkEnd w:id="47"/>
      <w:bookmarkEnd w:id="48"/>
      <w:bookmarkEnd w:id="49"/>
      <w:bookmarkEnd w:id="50"/>
      <w:bookmarkEnd w:id="51"/>
    </w:p>
    <w:bookmarkEnd w:id="52"/>
    <w:bookmarkEnd w:id="53"/>
    <w:bookmarkEnd w:id="54"/>
    <w:bookmarkEnd w:id="55"/>
    <w:bookmarkEnd w:id="56"/>
    <w:bookmarkEnd w:id="57"/>
    <w:bookmarkEnd w:id="58"/>
    <w:bookmarkEnd w:id="59"/>
    <w:bookmarkEnd w:id="60"/>
    <w:p w14:paraId="1C03A84A">
      <w:pPr>
        <w:pStyle w:val="3"/>
        <w:bidi w:val="0"/>
        <w:rPr>
          <w:rFonts w:hint="eastAsia" w:ascii="仿宋" w:hAnsi="仿宋" w:eastAsia="仿宋" w:cs="仿宋"/>
          <w:b/>
          <w:bCs/>
          <w:sz w:val="24"/>
          <w:szCs w:val="24"/>
        </w:rPr>
      </w:pPr>
      <w:bookmarkStart w:id="61" w:name="_Toc299954003"/>
      <w:bookmarkStart w:id="62" w:name="_Toc4724"/>
      <w:bookmarkStart w:id="63" w:name="_Toc29673"/>
      <w:bookmarkStart w:id="64" w:name="_Toc10109"/>
      <w:bookmarkStart w:id="65" w:name="_Toc316229706"/>
      <w:bookmarkStart w:id="66" w:name="_Toc4414"/>
      <w:bookmarkStart w:id="67" w:name="_Toc480201018"/>
      <w:bookmarkStart w:id="68" w:name="_Toc17385"/>
      <w:bookmarkStart w:id="69" w:name="_Toc28932"/>
      <w:bookmarkStart w:id="70" w:name="_Toc31373"/>
      <w:bookmarkStart w:id="71" w:name="_Toc48995849"/>
      <w:bookmarkStart w:id="72" w:name="_Toc47261688"/>
      <w:bookmarkStart w:id="73" w:name="_Toc47418729"/>
      <w:bookmarkStart w:id="74" w:name="_Toc480201010"/>
      <w:bookmarkStart w:id="75" w:name="_Toc47261883"/>
      <w:bookmarkStart w:id="76" w:name="_Toc23673"/>
      <w:bookmarkStart w:id="77" w:name="_Toc22622"/>
      <w:bookmarkStart w:id="78" w:name="_Toc47418253"/>
      <w:bookmarkStart w:id="79" w:name="_Toc49019234"/>
      <w:bookmarkStart w:id="80" w:name="_Toc88466046"/>
      <w:bookmarkStart w:id="81" w:name="_Toc22913"/>
      <w:bookmarkStart w:id="82" w:name="_Toc48791233"/>
      <w:bookmarkStart w:id="83" w:name="_Toc47418936"/>
      <w:bookmarkStart w:id="84" w:name="_Toc47262067"/>
      <w:bookmarkStart w:id="85" w:name="_Toc21930"/>
      <w:bookmarkStart w:id="86" w:name="_Toc5977"/>
      <w:r>
        <w:rPr>
          <w:rFonts w:hint="eastAsia"/>
          <w:lang w:val="en-US" w:eastAsia="zh-CN"/>
        </w:rPr>
        <w:t>附件5 类似项目情况表</w:t>
      </w:r>
      <w:bookmarkEnd w:id="61"/>
      <w:bookmarkEnd w:id="62"/>
      <w:bookmarkEnd w:id="63"/>
      <w:bookmarkEnd w:id="64"/>
      <w:bookmarkEnd w:id="65"/>
      <w:bookmarkEnd w:id="66"/>
      <w:bookmarkEnd w:id="67"/>
      <w:bookmarkEnd w:id="68"/>
      <w:bookmarkEnd w:id="69"/>
    </w:p>
    <w:p w14:paraId="21E2FD77">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类似项目情况表</w:t>
      </w:r>
    </w:p>
    <w:p w14:paraId="36FED0A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sz w:val="24"/>
          <w:szCs w:val="24"/>
          <w:u w:val="single"/>
        </w:rPr>
        <w:t xml:space="preserve">             </w:t>
      </w:r>
      <w:r>
        <w:rPr>
          <w:rFonts w:hint="eastAsia" w:ascii="仿宋" w:hAnsi="仿宋" w:eastAsia="仿宋" w:cs="仿宋"/>
          <w:b/>
          <w:bCs/>
          <w:sz w:val="24"/>
          <w:szCs w:val="24"/>
          <w:u w:val="single"/>
        </w:rPr>
        <w:t xml:space="preserve">        </w:t>
      </w:r>
    </w:p>
    <w:tbl>
      <w:tblPr>
        <w:tblStyle w:val="1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407"/>
        <w:gridCol w:w="1709"/>
        <w:gridCol w:w="1830"/>
        <w:gridCol w:w="1290"/>
      </w:tblGrid>
      <w:tr w14:paraId="7F8A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1442" w:type="dxa"/>
            <w:tcBorders>
              <w:bottom w:val="single" w:color="auto" w:sz="4" w:space="0"/>
              <w:right w:val="single" w:color="auto" w:sz="4" w:space="0"/>
            </w:tcBorders>
            <w:noWrap w:val="0"/>
            <w:vAlign w:val="center"/>
          </w:tcPr>
          <w:p w14:paraId="5F06B63A">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使用单位</w:t>
            </w:r>
          </w:p>
        </w:tc>
        <w:tc>
          <w:tcPr>
            <w:tcW w:w="2407" w:type="dxa"/>
            <w:tcBorders>
              <w:left w:val="single" w:color="auto" w:sz="4" w:space="0"/>
              <w:bottom w:val="single" w:color="auto" w:sz="4" w:space="0"/>
              <w:right w:val="single" w:color="auto" w:sz="4" w:space="0"/>
            </w:tcBorders>
            <w:noWrap w:val="0"/>
            <w:vAlign w:val="center"/>
          </w:tcPr>
          <w:p w14:paraId="0C841A53">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项目名称及数量</w:t>
            </w:r>
          </w:p>
        </w:tc>
        <w:tc>
          <w:tcPr>
            <w:tcW w:w="1709" w:type="dxa"/>
            <w:tcBorders>
              <w:left w:val="single" w:color="auto" w:sz="4" w:space="0"/>
              <w:bottom w:val="single" w:color="auto" w:sz="4" w:space="0"/>
              <w:right w:val="single" w:color="auto" w:sz="4" w:space="0"/>
            </w:tcBorders>
            <w:noWrap w:val="0"/>
            <w:vAlign w:val="center"/>
          </w:tcPr>
          <w:p w14:paraId="7F53A52B">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签订日期</w:t>
            </w:r>
          </w:p>
        </w:tc>
        <w:tc>
          <w:tcPr>
            <w:tcW w:w="1830" w:type="dxa"/>
            <w:tcBorders>
              <w:left w:val="single" w:color="auto" w:sz="4" w:space="0"/>
              <w:bottom w:val="single" w:color="auto" w:sz="4" w:space="0"/>
              <w:right w:val="single" w:color="auto" w:sz="4" w:space="0"/>
            </w:tcBorders>
            <w:noWrap w:val="0"/>
            <w:vAlign w:val="center"/>
          </w:tcPr>
          <w:p w14:paraId="5AE52ECD">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合同金额</w:t>
            </w:r>
          </w:p>
          <w:p w14:paraId="554B3E60">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（万元）</w:t>
            </w:r>
          </w:p>
        </w:tc>
        <w:tc>
          <w:tcPr>
            <w:tcW w:w="1290" w:type="dxa"/>
            <w:tcBorders>
              <w:left w:val="single" w:color="auto" w:sz="4" w:space="0"/>
              <w:bottom w:val="single" w:color="auto" w:sz="4" w:space="0"/>
            </w:tcBorders>
            <w:noWrap w:val="0"/>
            <w:vAlign w:val="center"/>
          </w:tcPr>
          <w:p w14:paraId="264CE137">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证明人及联系电话</w:t>
            </w:r>
          </w:p>
        </w:tc>
      </w:tr>
      <w:tr w14:paraId="432F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02F1586B">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10B166B6">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0501F1E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5654DFBB">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1384A401">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455C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11717A8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75AC2946">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54BA9002">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1D645713">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608FCC09">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3543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21BCD4BD">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1DD61B29">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1FBD233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4A67184B">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0E7B0A65">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64BB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2742B540">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21BD4C2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6E0B5705">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08E9D3DA">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76185C87">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02A2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068290C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00E38E2C">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25C50B55">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3BAAC63C">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142C3EF2">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bl>
    <w:p w14:paraId="0C3E2BE8">
      <w:pPr>
        <w:pStyle w:val="8"/>
        <w:spacing w:before="240" w:after="240"/>
        <w:ind w:left="422" w:hanging="482" w:hangingChars="200"/>
        <w:rPr>
          <w:rFonts w:hint="eastAsia" w:ascii="仿宋" w:hAnsi="仿宋" w:eastAsia="仿宋" w:cs="仿宋"/>
          <w:b/>
          <w:sz w:val="24"/>
          <w:szCs w:val="24"/>
        </w:rPr>
      </w:pPr>
      <w:r>
        <w:rPr>
          <w:rFonts w:hint="eastAsia" w:ascii="仿宋" w:hAnsi="仿宋" w:eastAsia="仿宋" w:cs="仿宋"/>
          <w:b/>
          <w:sz w:val="24"/>
          <w:szCs w:val="24"/>
        </w:rPr>
        <w:t>注：本表后应附合同复印件（加盖公章）</w:t>
      </w:r>
    </w:p>
    <w:p w14:paraId="1BF07A2F">
      <w:pPr>
        <w:snapToGrid w:val="0"/>
        <w:spacing w:line="360" w:lineRule="auto"/>
        <w:ind w:right="-21" w:rightChars="-10"/>
        <w:rPr>
          <w:rFonts w:hint="eastAsia" w:ascii="仿宋" w:hAnsi="仿宋" w:eastAsia="仿宋" w:cs="仿宋"/>
          <w:sz w:val="24"/>
          <w:szCs w:val="24"/>
        </w:rPr>
      </w:pPr>
      <w:r>
        <w:rPr>
          <w:rFonts w:hint="eastAsia" w:ascii="仿宋" w:hAnsi="仿宋" w:eastAsia="仿宋" w:cs="仿宋"/>
          <w:sz w:val="24"/>
          <w:szCs w:val="24"/>
        </w:rPr>
        <w:t>响应人：（盖章）</w:t>
      </w:r>
    </w:p>
    <w:p w14:paraId="2EBC267E">
      <w:pPr>
        <w:snapToGrid w:val="0"/>
        <w:spacing w:line="360" w:lineRule="auto"/>
        <w:ind w:right="-10"/>
        <w:rPr>
          <w:rFonts w:hint="eastAsia" w:ascii="仿宋" w:hAnsi="仿宋" w:eastAsia="仿宋" w:cs="仿宋"/>
          <w:sz w:val="24"/>
          <w:szCs w:val="24"/>
        </w:rPr>
      </w:pPr>
      <w:r>
        <w:rPr>
          <w:rFonts w:hint="eastAsia" w:ascii="仿宋" w:hAnsi="仿宋" w:eastAsia="仿宋" w:cs="仿宋"/>
          <w:sz w:val="24"/>
          <w:szCs w:val="24"/>
        </w:rPr>
        <w:t>法定代表人或代理人(签字或盖章)：</w:t>
      </w:r>
    </w:p>
    <w:p w14:paraId="359258F5">
      <w:pPr>
        <w:snapToGrid w:val="0"/>
        <w:spacing w:line="360" w:lineRule="auto"/>
        <w:ind w:right="-10"/>
        <w:rPr>
          <w:rFonts w:hint="eastAsia" w:ascii="仿宋" w:hAnsi="仿宋" w:eastAsia="仿宋" w:cs="仿宋"/>
          <w:sz w:val="24"/>
          <w:szCs w:val="24"/>
        </w:rPr>
      </w:pPr>
      <w:r>
        <w:rPr>
          <w:rFonts w:hint="eastAsia" w:ascii="仿宋" w:hAnsi="仿宋" w:eastAsia="仿宋" w:cs="仿宋"/>
          <w:sz w:val="24"/>
          <w:szCs w:val="24"/>
        </w:rPr>
        <w:t>日期：</w:t>
      </w:r>
    </w:p>
    <w:p w14:paraId="10E8C8BB">
      <w:pPr>
        <w:rPr>
          <w:rFonts w:hint="eastAsia"/>
        </w:rPr>
      </w:pPr>
      <w:r>
        <w:rPr>
          <w:rFonts w:hint="eastAsia"/>
        </w:rPr>
        <w:br w:type="page"/>
      </w:r>
    </w:p>
    <w:p w14:paraId="0E04D617">
      <w:pPr>
        <w:pStyle w:val="3"/>
        <w:bidi w:val="0"/>
      </w:pPr>
      <w:r>
        <w:rPr>
          <w:rFonts w:hint="eastAsia"/>
        </w:rPr>
        <w:t>附件</w:t>
      </w:r>
      <w:r>
        <w:rPr>
          <w:rFonts w:hint="eastAsia"/>
          <w:lang w:val="en-US" w:eastAsia="zh-CN"/>
        </w:rPr>
        <w:t xml:space="preserve">6 </w:t>
      </w:r>
      <w:r>
        <w:rPr>
          <w:rFonts w:hint="eastAsia"/>
        </w:rPr>
        <w:t>采购需求承诺函</w:t>
      </w:r>
    </w:p>
    <w:p w14:paraId="30B510CA">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采购需求承诺函</w:t>
      </w:r>
    </w:p>
    <w:p w14:paraId="5AA97539">
      <w:pPr>
        <w:pStyle w:val="31"/>
        <w:spacing w:after="200" w:line="500" w:lineRule="exact"/>
        <w:rPr>
          <w:rFonts w:ascii="宋体" w:hAnsi="宋体" w:eastAsia="宋体"/>
          <w:b w:val="0"/>
          <w:bCs/>
          <w:sz w:val="24"/>
          <w:szCs w:val="24"/>
          <w:highlight w:val="none"/>
        </w:rPr>
      </w:pPr>
      <w:r>
        <w:rPr>
          <w:rFonts w:hint="eastAsia" w:ascii="宋体" w:hAnsi="宋体" w:eastAsia="宋体"/>
          <w:b w:val="0"/>
          <w:bCs/>
          <w:sz w:val="24"/>
          <w:szCs w:val="24"/>
          <w:highlight w:val="none"/>
        </w:rPr>
        <w:t>南京中医药大学</w:t>
      </w:r>
      <w:r>
        <w:rPr>
          <w:rFonts w:hint="eastAsia" w:ascii="宋体" w:hAnsi="宋体" w:eastAsia="宋体"/>
          <w:b w:val="0"/>
          <w:bCs/>
          <w:sz w:val="24"/>
          <w:szCs w:val="24"/>
          <w:highlight w:val="none"/>
          <w:lang w:val="en-US" w:eastAsia="zh-CN"/>
        </w:rPr>
        <w:t>泰州校区</w:t>
      </w:r>
      <w:r>
        <w:rPr>
          <w:rFonts w:hint="eastAsia" w:ascii="宋体" w:hAnsi="宋体" w:eastAsia="宋体"/>
          <w:b w:val="0"/>
          <w:bCs/>
          <w:sz w:val="24"/>
          <w:szCs w:val="24"/>
          <w:highlight w:val="none"/>
        </w:rPr>
        <w:t>：</w:t>
      </w:r>
    </w:p>
    <w:p w14:paraId="5B166027">
      <w:pPr>
        <w:pStyle w:val="31"/>
        <w:autoSpaceDE w:val="0"/>
        <w:autoSpaceDN w:val="0"/>
        <w:spacing w:after="200" w:line="500" w:lineRule="exact"/>
        <w:ind w:firstLine="480" w:firstLineChars="200"/>
        <w:rPr>
          <w:rFonts w:ascii="宋体" w:hAnsi="宋体" w:eastAsia="宋体"/>
          <w:b w:val="0"/>
          <w:bCs/>
          <w:sz w:val="24"/>
          <w:szCs w:val="24"/>
        </w:rPr>
      </w:pPr>
      <w:r>
        <w:rPr>
          <w:rFonts w:hint="eastAsia" w:ascii="宋体" w:hAnsi="宋体" w:eastAsia="宋体"/>
          <w:b w:val="0"/>
          <w:bCs/>
          <w:sz w:val="24"/>
          <w:szCs w:val="24"/>
        </w:rPr>
        <w:t>根据号遴选文件相关要求，承诺如下：</w:t>
      </w:r>
    </w:p>
    <w:p w14:paraId="526AEE1D">
      <w:pPr>
        <w:pStyle w:val="32"/>
        <w:autoSpaceDE w:val="0"/>
        <w:autoSpaceDN w:val="0"/>
        <w:spacing w:after="200" w:line="560" w:lineRule="exact"/>
        <w:ind w:firstLine="480" w:firstLineChars="200"/>
        <w:rPr>
          <w:rFonts w:ascii="宋体" w:hAnsi="宋体"/>
          <w:sz w:val="24"/>
          <w:szCs w:val="24"/>
        </w:rPr>
      </w:pPr>
      <w:r>
        <w:rPr>
          <w:rFonts w:hint="eastAsia" w:ascii="宋体" w:hAnsi="宋体"/>
          <w:sz w:val="24"/>
          <w:szCs w:val="24"/>
        </w:rPr>
        <w:t>完全响应本项目采购需求，如我单位成交，将按照响应内容进行履约。如我单位响应文件的响应方案优于采购需求，将按响应文件履约。</w:t>
      </w:r>
    </w:p>
    <w:p w14:paraId="46CF9505">
      <w:pPr>
        <w:pStyle w:val="31"/>
        <w:spacing w:after="200" w:line="220" w:lineRule="atLeast"/>
        <w:rPr>
          <w:rFonts w:ascii="宋体" w:hAnsi="宋体" w:eastAsia="宋体"/>
          <w:sz w:val="24"/>
          <w:szCs w:val="24"/>
        </w:rPr>
      </w:pPr>
    </w:p>
    <w:p w14:paraId="771CF557">
      <w:pPr>
        <w:pStyle w:val="31"/>
        <w:spacing w:after="200" w:line="220" w:lineRule="atLeast"/>
        <w:ind w:firstLine="4080" w:firstLineChars="1700"/>
        <w:rPr>
          <w:rFonts w:ascii="宋体" w:hAnsi="宋体" w:eastAsia="宋体"/>
          <w:b w:val="0"/>
          <w:bCs/>
          <w:sz w:val="24"/>
          <w:szCs w:val="24"/>
          <w:u w:val="single"/>
        </w:rPr>
      </w:pPr>
      <w:r>
        <w:rPr>
          <w:rFonts w:hint="eastAsia" w:ascii="宋体" w:hAnsi="宋体" w:eastAsia="宋体"/>
          <w:b w:val="0"/>
          <w:bCs/>
          <w:sz w:val="24"/>
          <w:szCs w:val="24"/>
        </w:rPr>
        <w:t>供应商公章：</w:t>
      </w:r>
    </w:p>
    <w:p w14:paraId="2D67E1F6">
      <w:pPr>
        <w:ind w:firstLine="4080" w:firstLineChars="1700"/>
        <w:rPr>
          <w:sz w:val="24"/>
          <w:szCs w:val="24"/>
        </w:rPr>
      </w:pPr>
      <w:r>
        <w:rPr>
          <w:rFonts w:hint="eastAsia" w:ascii="宋体" w:hAnsi="宋体"/>
          <w:bCs/>
          <w:sz w:val="24"/>
          <w:szCs w:val="24"/>
        </w:rPr>
        <w:t>202</w:t>
      </w:r>
      <w:r>
        <w:rPr>
          <w:rFonts w:ascii="宋体" w:hAnsi="宋体"/>
          <w:bCs/>
          <w:sz w:val="24"/>
          <w:szCs w:val="24"/>
        </w:rPr>
        <w:t>5</w:t>
      </w:r>
      <w:r>
        <w:rPr>
          <w:rFonts w:hint="eastAsia" w:ascii="宋体" w:hAnsi="宋体"/>
          <w:bCs/>
          <w:sz w:val="24"/>
          <w:szCs w:val="24"/>
        </w:rPr>
        <w:t>年   月   日</w:t>
      </w:r>
    </w:p>
    <w:p w14:paraId="7AA7B5D2">
      <w:pPr>
        <w:widowControl/>
        <w:jc w:val="left"/>
        <w:rPr>
          <w:rFonts w:ascii="Verdana" w:hAnsi="Verdana"/>
        </w:rPr>
      </w:pPr>
    </w:p>
    <w:p w14:paraId="5D5F8155">
      <w:pPr>
        <w:pStyle w:val="10"/>
        <w:rPr>
          <w:rFonts w:ascii="Verdana" w:hAnsi="Verdana"/>
        </w:rPr>
      </w:pPr>
    </w:p>
    <w:p w14:paraId="721D8800">
      <w:pPr>
        <w:rPr>
          <w:rFonts w:ascii="Verdana" w:hAnsi="Verdana"/>
        </w:rPr>
      </w:pPr>
    </w:p>
    <w:p w14:paraId="4B020AED">
      <w:pPr>
        <w:pStyle w:val="10"/>
        <w:rPr>
          <w:rFonts w:ascii="Verdana" w:hAnsi="Verdana"/>
        </w:rPr>
      </w:pPr>
    </w:p>
    <w:p w14:paraId="04C49A7C">
      <w:pPr>
        <w:rPr>
          <w:rFonts w:ascii="Verdana" w:hAnsi="Verdana"/>
        </w:rPr>
      </w:pPr>
    </w:p>
    <w:p w14:paraId="350DF80F">
      <w:pPr>
        <w:pStyle w:val="10"/>
        <w:rPr>
          <w:rFonts w:ascii="Verdana" w:hAnsi="Verdana"/>
        </w:rPr>
      </w:pPr>
    </w:p>
    <w:p w14:paraId="5E7037E3">
      <w:pPr>
        <w:rPr>
          <w:rFonts w:ascii="Verdana" w:hAnsi="Verdana"/>
        </w:rPr>
      </w:pPr>
    </w:p>
    <w:p w14:paraId="59DD6C8E">
      <w:pPr>
        <w:pStyle w:val="10"/>
        <w:rPr>
          <w:rFonts w:ascii="Verdana" w:hAnsi="Verdana"/>
        </w:rPr>
      </w:pPr>
    </w:p>
    <w:p w14:paraId="44E0C2EC">
      <w:pPr>
        <w:rPr>
          <w:rFonts w:ascii="Verdana" w:hAnsi="Verdana"/>
        </w:rPr>
      </w:pPr>
    </w:p>
    <w:p w14:paraId="5E5AE623">
      <w:pPr>
        <w:pStyle w:val="10"/>
        <w:rPr>
          <w:rFonts w:ascii="Verdana" w:hAnsi="Verdana"/>
        </w:rPr>
      </w:pPr>
    </w:p>
    <w:p w14:paraId="310D7F54">
      <w:pPr>
        <w:rPr>
          <w:rFonts w:ascii="Verdana" w:hAnsi="Verdana"/>
        </w:rPr>
      </w:pPr>
    </w:p>
    <w:p w14:paraId="371D2805">
      <w:pPr>
        <w:pStyle w:val="10"/>
        <w:rPr>
          <w:rFonts w:ascii="Verdana" w:hAnsi="Verdana"/>
        </w:rPr>
      </w:pPr>
    </w:p>
    <w:p w14:paraId="1B70C3DD">
      <w:pPr>
        <w:rPr>
          <w:rFonts w:ascii="Verdana" w:hAnsi="Verdana"/>
        </w:rPr>
      </w:pPr>
    </w:p>
    <w:p w14:paraId="4EAA0177">
      <w:pPr>
        <w:pStyle w:val="10"/>
        <w:rPr>
          <w:rFonts w:ascii="Verdana" w:hAnsi="Verdana"/>
        </w:rPr>
      </w:pPr>
    </w:p>
    <w:p w14:paraId="5FFF9A86">
      <w:pPr>
        <w:rPr>
          <w:rFonts w:ascii="Verdana" w:hAnsi="Verdana"/>
        </w:rPr>
      </w:pPr>
    </w:p>
    <w:p w14:paraId="7B4C29C1">
      <w:pPr>
        <w:pStyle w:val="10"/>
        <w:rPr>
          <w:rFonts w:ascii="Verdana" w:hAnsi="Verdana"/>
        </w:rPr>
      </w:pPr>
    </w:p>
    <w:p w14:paraId="26DA41D5">
      <w:pPr>
        <w:rPr>
          <w:rFonts w:ascii="Verdana" w:hAnsi="Verdana"/>
        </w:rPr>
      </w:pPr>
    </w:p>
    <w:p w14:paraId="4E46A155">
      <w:pPr>
        <w:rPr>
          <w:rFonts w:hint="eastAsia"/>
          <w:lang w:val="en-US" w:eastAsia="zh-CN"/>
        </w:rPr>
      </w:pPr>
      <w:r>
        <w:rPr>
          <w:rFonts w:hint="eastAsia"/>
          <w:lang w:val="en-US" w:eastAsia="zh-CN"/>
        </w:rPr>
        <w:br w:type="page"/>
      </w:r>
    </w:p>
    <w:p w14:paraId="0BB93F3E">
      <w:pPr>
        <w:pStyle w:val="3"/>
        <w:bidi w:val="0"/>
        <w:rPr>
          <w:rFonts w:hint="default"/>
          <w:lang w:val="en-US" w:eastAsia="zh-CN"/>
        </w:rPr>
      </w:pPr>
      <w:r>
        <w:rPr>
          <w:rFonts w:hint="eastAsia"/>
          <w:lang w:val="en-US" w:eastAsia="zh-CN"/>
        </w:rPr>
        <w:t>附件7 廉洁诚信承诺书</w:t>
      </w:r>
    </w:p>
    <w:p w14:paraId="03FBB149">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廉洁诚信承诺书</w:t>
      </w:r>
    </w:p>
    <w:p w14:paraId="0F473482">
      <w:pPr>
        <w:spacing w:line="360" w:lineRule="auto"/>
        <w:ind w:firstLine="420"/>
        <w:rPr>
          <w:rFonts w:hint="eastAsia"/>
          <w:sz w:val="24"/>
          <w:szCs w:val="24"/>
        </w:rPr>
      </w:pPr>
      <w:r>
        <w:rPr>
          <w:rFonts w:hint="eastAsia"/>
          <w:sz w:val="24"/>
          <w:szCs w:val="24"/>
        </w:rPr>
        <w:t>我公司决定参加</w:t>
      </w:r>
      <w:r>
        <w:rPr>
          <w:rFonts w:hint="eastAsia"/>
          <w:sz w:val="24"/>
          <w:szCs w:val="24"/>
          <w:u w:val="single"/>
        </w:rPr>
        <w:t xml:space="preserve">                            </w:t>
      </w:r>
      <w:r>
        <w:rPr>
          <w:rFonts w:hint="eastAsia"/>
          <w:sz w:val="24"/>
          <w:szCs w:val="24"/>
        </w:rPr>
        <w:t>项目采购。为维护公平竞争的市场秩序，促进廉洁从业.诚实守信，特承诺如下：</w:t>
      </w:r>
    </w:p>
    <w:p w14:paraId="1A603E36">
      <w:pPr>
        <w:spacing w:line="360" w:lineRule="auto"/>
        <w:ind w:firstLine="480" w:firstLineChars="200"/>
        <w:rPr>
          <w:rFonts w:hint="eastAsia"/>
          <w:sz w:val="24"/>
          <w:szCs w:val="24"/>
        </w:rPr>
      </w:pPr>
      <w:r>
        <w:rPr>
          <w:rFonts w:hint="eastAsia"/>
          <w:sz w:val="24"/>
          <w:szCs w:val="24"/>
        </w:rPr>
        <w:t>一、严格遵守《中华人民共和国招标投标法》、《中华人民共和国政府采购法》等法律法规。决不发生以下行为：</w:t>
      </w:r>
    </w:p>
    <w:p w14:paraId="61042EBE">
      <w:pPr>
        <w:spacing w:line="360" w:lineRule="auto"/>
        <w:ind w:firstLine="480" w:firstLineChars="200"/>
        <w:rPr>
          <w:rFonts w:hint="eastAsia"/>
          <w:sz w:val="24"/>
          <w:szCs w:val="24"/>
        </w:rPr>
      </w:pPr>
      <w:r>
        <w:rPr>
          <w:rFonts w:hint="eastAsia"/>
          <w:sz w:val="24"/>
          <w:szCs w:val="24"/>
        </w:rPr>
        <w:t>1、以他人名义响应；出借资质，允许其他单位或个人使用本单位资质响应；</w:t>
      </w:r>
    </w:p>
    <w:p w14:paraId="50E4AEFA">
      <w:pPr>
        <w:spacing w:line="360" w:lineRule="auto"/>
        <w:ind w:firstLine="480" w:firstLineChars="200"/>
        <w:rPr>
          <w:rFonts w:hint="eastAsia"/>
          <w:sz w:val="24"/>
          <w:szCs w:val="24"/>
        </w:rPr>
      </w:pPr>
      <w:r>
        <w:rPr>
          <w:rFonts w:hint="eastAsia"/>
          <w:sz w:val="24"/>
          <w:szCs w:val="24"/>
        </w:rPr>
        <w:t>2、提供虚假材料，或以其他方式弄虚作假骗取成交；</w:t>
      </w:r>
    </w:p>
    <w:p w14:paraId="1D016B8F">
      <w:pPr>
        <w:spacing w:line="360" w:lineRule="auto"/>
        <w:ind w:firstLine="480" w:firstLineChars="200"/>
        <w:rPr>
          <w:rFonts w:hint="eastAsia"/>
          <w:sz w:val="24"/>
          <w:szCs w:val="24"/>
        </w:rPr>
      </w:pPr>
      <w:r>
        <w:rPr>
          <w:rFonts w:hint="eastAsia"/>
          <w:sz w:val="24"/>
          <w:szCs w:val="24"/>
        </w:rPr>
        <w:t>3、与采购人或者其他响应人相互串通响应；</w:t>
      </w:r>
    </w:p>
    <w:p w14:paraId="768743EF">
      <w:pPr>
        <w:spacing w:line="360" w:lineRule="auto"/>
        <w:ind w:firstLine="480" w:firstLineChars="200"/>
        <w:rPr>
          <w:rFonts w:hint="eastAsia"/>
          <w:sz w:val="24"/>
          <w:szCs w:val="24"/>
        </w:rPr>
      </w:pPr>
      <w:r>
        <w:rPr>
          <w:rFonts w:hint="eastAsia"/>
          <w:sz w:val="24"/>
          <w:szCs w:val="24"/>
        </w:rPr>
        <w:t>4、成交后将项目转包，或违法分包；</w:t>
      </w:r>
    </w:p>
    <w:p w14:paraId="200EA595">
      <w:pPr>
        <w:spacing w:line="360" w:lineRule="auto"/>
        <w:ind w:firstLine="480" w:firstLineChars="200"/>
        <w:rPr>
          <w:rFonts w:hint="eastAsia"/>
          <w:sz w:val="24"/>
          <w:szCs w:val="24"/>
        </w:rPr>
      </w:pPr>
      <w:r>
        <w:rPr>
          <w:rFonts w:hint="eastAsia"/>
          <w:sz w:val="24"/>
          <w:szCs w:val="24"/>
        </w:rPr>
        <w:t>5、成交后与采购人签订背离响应文件及合同实质性内容的私下协议；</w:t>
      </w:r>
    </w:p>
    <w:p w14:paraId="2AB09568">
      <w:pPr>
        <w:spacing w:line="360" w:lineRule="auto"/>
        <w:ind w:firstLine="480" w:firstLineChars="200"/>
        <w:rPr>
          <w:rFonts w:hint="eastAsia"/>
          <w:sz w:val="24"/>
          <w:szCs w:val="24"/>
        </w:rPr>
      </w:pPr>
      <w:r>
        <w:rPr>
          <w:rFonts w:hint="eastAsia"/>
          <w:sz w:val="24"/>
          <w:szCs w:val="24"/>
        </w:rPr>
        <w:t>6、其他违反招标投标、政府采购等法律法规的行为。</w:t>
      </w:r>
    </w:p>
    <w:p w14:paraId="4C6DD07B">
      <w:pPr>
        <w:spacing w:line="360" w:lineRule="auto"/>
        <w:ind w:firstLine="480" w:firstLineChars="200"/>
        <w:rPr>
          <w:rFonts w:hint="eastAsia"/>
          <w:sz w:val="24"/>
          <w:szCs w:val="24"/>
        </w:rPr>
      </w:pPr>
      <w:r>
        <w:rPr>
          <w:rFonts w:hint="eastAsia"/>
          <w:sz w:val="24"/>
          <w:szCs w:val="24"/>
        </w:rPr>
        <w:t>二、不以任何理由给予采购人、主管部门、相关单位及其工作人员、专家评委以下好处：</w:t>
      </w:r>
    </w:p>
    <w:p w14:paraId="3EEA569C">
      <w:pPr>
        <w:spacing w:line="360" w:lineRule="auto"/>
        <w:ind w:firstLine="480" w:firstLineChars="200"/>
        <w:rPr>
          <w:rFonts w:hint="eastAsia"/>
          <w:sz w:val="24"/>
          <w:szCs w:val="24"/>
        </w:rPr>
      </w:pPr>
      <w:r>
        <w:rPr>
          <w:rFonts w:hint="eastAsia"/>
          <w:sz w:val="24"/>
          <w:szCs w:val="24"/>
        </w:rPr>
        <w:t>1、赠送礼金、有价证券、贵重物品，或给予回扣、感谢费、劳务费等各种名目的经费；</w:t>
      </w:r>
    </w:p>
    <w:p w14:paraId="20AFCD7A">
      <w:pPr>
        <w:spacing w:line="360" w:lineRule="auto"/>
        <w:ind w:firstLine="480" w:firstLineChars="200"/>
        <w:rPr>
          <w:rFonts w:hint="eastAsia"/>
          <w:sz w:val="24"/>
          <w:szCs w:val="24"/>
        </w:rPr>
      </w:pPr>
      <w:r>
        <w:rPr>
          <w:rFonts w:hint="eastAsia"/>
          <w:sz w:val="24"/>
          <w:szCs w:val="24"/>
        </w:rPr>
        <w:t>2、报销应由上述单位、部门或个人支付的费用；</w:t>
      </w:r>
    </w:p>
    <w:p w14:paraId="2D592499">
      <w:pPr>
        <w:spacing w:line="360" w:lineRule="auto"/>
        <w:ind w:firstLine="480" w:firstLineChars="200"/>
        <w:rPr>
          <w:rFonts w:hint="eastAsia"/>
          <w:sz w:val="24"/>
          <w:szCs w:val="24"/>
        </w:rPr>
      </w:pPr>
      <w:r>
        <w:rPr>
          <w:rFonts w:hint="eastAsia"/>
          <w:sz w:val="24"/>
          <w:szCs w:val="24"/>
        </w:rPr>
        <w:t>3、赠送或提供通讯工具、交通工具和高档办公用品等；</w:t>
      </w:r>
    </w:p>
    <w:p w14:paraId="328CBD49">
      <w:pPr>
        <w:spacing w:line="360" w:lineRule="auto"/>
        <w:ind w:firstLine="480" w:firstLineChars="200"/>
        <w:rPr>
          <w:rFonts w:hint="eastAsia"/>
          <w:sz w:val="24"/>
          <w:szCs w:val="24"/>
        </w:rPr>
      </w:pPr>
      <w:r>
        <w:rPr>
          <w:rFonts w:hint="eastAsia"/>
          <w:sz w:val="24"/>
          <w:szCs w:val="24"/>
        </w:rPr>
        <w:t>4、提供宴请、健身、旅游、娱乐等高消费活动。</w:t>
      </w:r>
    </w:p>
    <w:p w14:paraId="4C39C43A">
      <w:pPr>
        <w:spacing w:line="360" w:lineRule="auto"/>
        <w:ind w:firstLine="480" w:firstLineChars="200"/>
        <w:rPr>
          <w:rFonts w:hint="eastAsia"/>
          <w:sz w:val="24"/>
          <w:szCs w:val="24"/>
        </w:rPr>
      </w:pPr>
      <w:r>
        <w:rPr>
          <w:rFonts w:hint="eastAsia"/>
          <w:sz w:val="24"/>
          <w:szCs w:val="24"/>
        </w:rPr>
        <w:t>三、不以任何理由为采购人、主管部门、相关单位的工作人员及其配偶、子女等亲属提供任何形式的利益输送或方便。</w:t>
      </w:r>
    </w:p>
    <w:p w14:paraId="6191F77E">
      <w:pPr>
        <w:spacing w:line="360" w:lineRule="auto"/>
        <w:ind w:firstLine="480" w:firstLineChars="200"/>
        <w:rPr>
          <w:rFonts w:hint="eastAsia"/>
          <w:sz w:val="24"/>
          <w:szCs w:val="24"/>
        </w:rPr>
      </w:pPr>
      <w:r>
        <w:rPr>
          <w:rFonts w:hint="eastAsia"/>
          <w:sz w:val="24"/>
          <w:szCs w:val="24"/>
        </w:rPr>
        <w:t>四、自觉接受采购人纪检监察部门的监督。</w:t>
      </w:r>
    </w:p>
    <w:p w14:paraId="740055B2">
      <w:pPr>
        <w:spacing w:line="360" w:lineRule="auto"/>
        <w:ind w:firstLine="480" w:firstLineChars="200"/>
        <w:rPr>
          <w:rFonts w:hint="eastAsia"/>
          <w:sz w:val="24"/>
          <w:szCs w:val="24"/>
        </w:rPr>
      </w:pPr>
      <w:r>
        <w:rPr>
          <w:rFonts w:hint="eastAsia"/>
          <w:sz w:val="24"/>
          <w:szCs w:val="24"/>
        </w:rPr>
        <w:t>上述承诺如有违反，愿接受采购人录入招投标工作信用体系的处理，采购人有权向政府采购上级主管部门进行汇报；构成违纪违法的，由相关部门依纪依法作出处理。</w:t>
      </w:r>
    </w:p>
    <w:p w14:paraId="11EF3ED3">
      <w:pPr>
        <w:spacing w:line="360" w:lineRule="auto"/>
        <w:ind w:firstLine="480" w:firstLineChars="200"/>
        <w:rPr>
          <w:rFonts w:hint="eastAsia"/>
          <w:sz w:val="24"/>
          <w:szCs w:val="24"/>
        </w:rPr>
      </w:pPr>
      <w:r>
        <w:rPr>
          <w:rFonts w:hint="eastAsia"/>
          <w:sz w:val="24"/>
          <w:szCs w:val="24"/>
        </w:rPr>
        <w:t>　　                           法定代表人（签字或盖章）：</w:t>
      </w:r>
    </w:p>
    <w:p w14:paraId="09729024">
      <w:pPr>
        <w:spacing w:line="360" w:lineRule="auto"/>
        <w:ind w:firstLine="480" w:firstLineChars="200"/>
        <w:rPr>
          <w:rFonts w:hint="eastAsia"/>
          <w:sz w:val="24"/>
          <w:szCs w:val="24"/>
        </w:rPr>
      </w:pPr>
      <w:r>
        <w:rPr>
          <w:rFonts w:hint="eastAsia"/>
          <w:sz w:val="24"/>
          <w:szCs w:val="24"/>
        </w:rPr>
        <w:t>　　                           承诺单位(公章)：</w:t>
      </w:r>
    </w:p>
    <w:p w14:paraId="24579488">
      <w:pPr>
        <w:spacing w:line="360" w:lineRule="auto"/>
        <w:ind w:firstLine="480" w:firstLineChars="200"/>
        <w:rPr>
          <w:rFonts w:hint="eastAsia" w:ascii="仿宋" w:hAnsi="仿宋" w:eastAsia="仿宋" w:cs="仿宋"/>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承 诺 日 期：</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月</w:t>
      </w:r>
      <w:r>
        <w:rPr>
          <w:sz w:val="24"/>
          <w:szCs w:val="24"/>
        </w:rPr>
        <w:t xml:space="preserve">    </w:t>
      </w:r>
      <w:r>
        <w:rPr>
          <w:rFonts w:hint="eastAsia"/>
          <w:sz w:val="24"/>
          <w:szCs w:val="24"/>
        </w:rPr>
        <w:t>日</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sectPr>
      <w:headerReference r:id="rId3" w:type="default"/>
      <w:footerReference r:id="rId4" w:type="default"/>
      <w:pgSz w:w="11906" w:h="16838"/>
      <w:pgMar w:top="1440" w:right="1701"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B37F90-83C4-4B0F-AA42-6A380E8047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04B9EA-7695-4827-81C9-B3865D6D9370}"/>
  </w:font>
  <w:font w:name="Verdana">
    <w:panose1 w:val="020B0604030504040204"/>
    <w:charset w:val="00"/>
    <w:family w:val="swiss"/>
    <w:pitch w:val="default"/>
    <w:sig w:usb0="A00006FF" w:usb1="4000205B" w:usb2="00000010" w:usb3="00000000" w:csb0="2000019F" w:csb1="00000000"/>
    <w:embedRegular r:id="rId3" w:fontKey="{47E1F8A4-C0FC-47C1-9C8A-83273690702B}"/>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4" w:fontKey="{D47FDA27-7454-4C20-8D1A-CC18E63AAE1A}"/>
  </w:font>
  <w:font w:name="方正小标宋_GBK">
    <w:panose1 w:val="02000000000000000000"/>
    <w:charset w:val="86"/>
    <w:family w:val="auto"/>
    <w:pitch w:val="default"/>
    <w:sig w:usb0="A00002BF" w:usb1="38CF7CFA" w:usb2="00082016" w:usb3="00000000" w:csb0="00040001" w:csb1="00000000"/>
    <w:embedRegular r:id="rId5" w:fontKey="{7F746F06-B012-4459-A9DE-5C6DABAEE5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413D4">
    <w:pPr>
      <w:pStyle w:val="1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5969A">
                          <w:pPr>
                            <w:pStyle w:val="14"/>
                            <w:jc w:val="center"/>
                          </w:pPr>
                          <w:r>
                            <w:fldChar w:fldCharType="begin"/>
                          </w:r>
                          <w:r>
                            <w:rPr>
                              <w:rStyle w:val="22"/>
                            </w:rPr>
                            <w:instrText xml:space="preserve"> PAGE </w:instrText>
                          </w:r>
                          <w:r>
                            <w:fldChar w:fldCharType="separate"/>
                          </w:r>
                          <w:r>
                            <w:rPr>
                              <w:rStyle w:val="22"/>
                            </w:rP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F5969A">
                    <w:pPr>
                      <w:pStyle w:val="14"/>
                      <w:jc w:val="center"/>
                    </w:pPr>
                    <w:r>
                      <w:fldChar w:fldCharType="begin"/>
                    </w:r>
                    <w:r>
                      <w:rPr>
                        <w:rStyle w:val="22"/>
                      </w:rPr>
                      <w:instrText xml:space="preserve"> PAGE </w:instrText>
                    </w:r>
                    <w:r>
                      <w:fldChar w:fldCharType="separate"/>
                    </w:r>
                    <w:r>
                      <w:rPr>
                        <w:rStyle w:val="22"/>
                      </w:rP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06DC">
    <w:pPr>
      <w:pStyle w:val="1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86814"/>
    <w:multiLevelType w:val="singleLevel"/>
    <w:tmpl w:val="97786814"/>
    <w:lvl w:ilvl="0" w:tentative="0">
      <w:start w:val="2"/>
      <w:numFmt w:val="chineseCounting"/>
      <w:suff w:val="space"/>
      <w:lvlText w:val="第%1章"/>
      <w:lvlJc w:val="left"/>
      <w:rPr>
        <w:rFonts w:hint="eastAsia"/>
      </w:rPr>
    </w:lvl>
  </w:abstractNum>
  <w:abstractNum w:abstractNumId="1">
    <w:nsid w:val="C3A5C390"/>
    <w:multiLevelType w:val="singleLevel"/>
    <w:tmpl w:val="C3A5C390"/>
    <w:lvl w:ilvl="0" w:tentative="0">
      <w:start w:val="1"/>
      <w:numFmt w:val="decimal"/>
      <w:suff w:val="nothing"/>
      <w:lvlText w:val="（%1）"/>
      <w:lvlJc w:val="left"/>
    </w:lvl>
  </w:abstractNum>
  <w:abstractNum w:abstractNumId="2">
    <w:nsid w:val="2AD15764"/>
    <w:multiLevelType w:val="multilevel"/>
    <w:tmpl w:val="2AD15764"/>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54F65466"/>
    <w:multiLevelType w:val="singleLevel"/>
    <w:tmpl w:val="54F65466"/>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960DC"/>
    <w:rsid w:val="00FB40A4"/>
    <w:rsid w:val="025263E9"/>
    <w:rsid w:val="02FA438B"/>
    <w:rsid w:val="03726412"/>
    <w:rsid w:val="039E123B"/>
    <w:rsid w:val="03AB56A8"/>
    <w:rsid w:val="047343F5"/>
    <w:rsid w:val="04743FDE"/>
    <w:rsid w:val="051931EE"/>
    <w:rsid w:val="05965512"/>
    <w:rsid w:val="05E57574"/>
    <w:rsid w:val="061040CF"/>
    <w:rsid w:val="06841FF9"/>
    <w:rsid w:val="06A83037"/>
    <w:rsid w:val="06B946CE"/>
    <w:rsid w:val="07600609"/>
    <w:rsid w:val="07BD6C5D"/>
    <w:rsid w:val="081C4DA3"/>
    <w:rsid w:val="09664528"/>
    <w:rsid w:val="09AC4925"/>
    <w:rsid w:val="09AF5ECF"/>
    <w:rsid w:val="09EE15CD"/>
    <w:rsid w:val="0AAA1E05"/>
    <w:rsid w:val="0B865355"/>
    <w:rsid w:val="0BDD1260"/>
    <w:rsid w:val="0C780835"/>
    <w:rsid w:val="0C8002D6"/>
    <w:rsid w:val="0C901E2E"/>
    <w:rsid w:val="0D3F55E8"/>
    <w:rsid w:val="0EB54537"/>
    <w:rsid w:val="0F783207"/>
    <w:rsid w:val="103A1CA5"/>
    <w:rsid w:val="10596B94"/>
    <w:rsid w:val="10953945"/>
    <w:rsid w:val="10AD23D8"/>
    <w:rsid w:val="10E61124"/>
    <w:rsid w:val="117F262B"/>
    <w:rsid w:val="122D652B"/>
    <w:rsid w:val="12687C57"/>
    <w:rsid w:val="132669EA"/>
    <w:rsid w:val="13B97311"/>
    <w:rsid w:val="14294AD0"/>
    <w:rsid w:val="143554DF"/>
    <w:rsid w:val="144E09DA"/>
    <w:rsid w:val="14EB7FD7"/>
    <w:rsid w:val="14F0383F"/>
    <w:rsid w:val="153D4CD7"/>
    <w:rsid w:val="15704DEE"/>
    <w:rsid w:val="157955E3"/>
    <w:rsid w:val="16680A61"/>
    <w:rsid w:val="166960DC"/>
    <w:rsid w:val="168626AD"/>
    <w:rsid w:val="168B78F4"/>
    <w:rsid w:val="16DA17C5"/>
    <w:rsid w:val="1720665E"/>
    <w:rsid w:val="17740758"/>
    <w:rsid w:val="1A0572C2"/>
    <w:rsid w:val="1A490D88"/>
    <w:rsid w:val="1A4F2BE8"/>
    <w:rsid w:val="1A6B4094"/>
    <w:rsid w:val="1AB4636C"/>
    <w:rsid w:val="1BA23AE5"/>
    <w:rsid w:val="1BC01675"/>
    <w:rsid w:val="1D053FA6"/>
    <w:rsid w:val="1DF95513"/>
    <w:rsid w:val="1EF77EAB"/>
    <w:rsid w:val="1F0B3750"/>
    <w:rsid w:val="20F326ED"/>
    <w:rsid w:val="21052421"/>
    <w:rsid w:val="215B0293"/>
    <w:rsid w:val="21B207FA"/>
    <w:rsid w:val="21DB5C10"/>
    <w:rsid w:val="22253FAB"/>
    <w:rsid w:val="227B6E3E"/>
    <w:rsid w:val="22EC1AEA"/>
    <w:rsid w:val="231850BE"/>
    <w:rsid w:val="232B283F"/>
    <w:rsid w:val="237F64BA"/>
    <w:rsid w:val="23D33B59"/>
    <w:rsid w:val="25D7082F"/>
    <w:rsid w:val="25DD571A"/>
    <w:rsid w:val="25FD0B1A"/>
    <w:rsid w:val="268F110A"/>
    <w:rsid w:val="26C708A4"/>
    <w:rsid w:val="276F4A98"/>
    <w:rsid w:val="27E85FCB"/>
    <w:rsid w:val="284657F9"/>
    <w:rsid w:val="28752661"/>
    <w:rsid w:val="28A0017C"/>
    <w:rsid w:val="28FC16CB"/>
    <w:rsid w:val="29343452"/>
    <w:rsid w:val="298C7B83"/>
    <w:rsid w:val="29EC6874"/>
    <w:rsid w:val="2ADC0696"/>
    <w:rsid w:val="2AE364B0"/>
    <w:rsid w:val="2BBA09D7"/>
    <w:rsid w:val="2BF612E4"/>
    <w:rsid w:val="2C183950"/>
    <w:rsid w:val="2CCD529F"/>
    <w:rsid w:val="2D423327"/>
    <w:rsid w:val="2D4B565F"/>
    <w:rsid w:val="2D915768"/>
    <w:rsid w:val="2E556795"/>
    <w:rsid w:val="2FDB6EE9"/>
    <w:rsid w:val="2FFB511A"/>
    <w:rsid w:val="317F06EE"/>
    <w:rsid w:val="31A16195"/>
    <w:rsid w:val="32CB4DE6"/>
    <w:rsid w:val="337926A3"/>
    <w:rsid w:val="3558300F"/>
    <w:rsid w:val="35646440"/>
    <w:rsid w:val="35FECF45"/>
    <w:rsid w:val="361763FA"/>
    <w:rsid w:val="36D06293"/>
    <w:rsid w:val="371A057C"/>
    <w:rsid w:val="371F5B92"/>
    <w:rsid w:val="373B4150"/>
    <w:rsid w:val="3751423D"/>
    <w:rsid w:val="37CD3840"/>
    <w:rsid w:val="387463B2"/>
    <w:rsid w:val="38C757B4"/>
    <w:rsid w:val="3A4802B0"/>
    <w:rsid w:val="3A712BA9"/>
    <w:rsid w:val="3AA0028A"/>
    <w:rsid w:val="3AC84793"/>
    <w:rsid w:val="3AE0388B"/>
    <w:rsid w:val="3AE8273F"/>
    <w:rsid w:val="3B117EE8"/>
    <w:rsid w:val="3B7F4E52"/>
    <w:rsid w:val="3BFF41E4"/>
    <w:rsid w:val="3DD31485"/>
    <w:rsid w:val="3DF3B343"/>
    <w:rsid w:val="3E9230EE"/>
    <w:rsid w:val="3EE856FC"/>
    <w:rsid w:val="3F0833B0"/>
    <w:rsid w:val="3FF676AC"/>
    <w:rsid w:val="40762199"/>
    <w:rsid w:val="41270465"/>
    <w:rsid w:val="413C6193"/>
    <w:rsid w:val="41B657C0"/>
    <w:rsid w:val="41C45CB4"/>
    <w:rsid w:val="43571A95"/>
    <w:rsid w:val="435C016E"/>
    <w:rsid w:val="43856EC9"/>
    <w:rsid w:val="43B6162D"/>
    <w:rsid w:val="44A22E8A"/>
    <w:rsid w:val="4575524A"/>
    <w:rsid w:val="45795008"/>
    <w:rsid w:val="46AB7443"/>
    <w:rsid w:val="47264D1B"/>
    <w:rsid w:val="477C2B8D"/>
    <w:rsid w:val="481B4474"/>
    <w:rsid w:val="481D7ECC"/>
    <w:rsid w:val="48296761"/>
    <w:rsid w:val="48847F4B"/>
    <w:rsid w:val="489F4D85"/>
    <w:rsid w:val="496A25E7"/>
    <w:rsid w:val="49F25388"/>
    <w:rsid w:val="4A0122E3"/>
    <w:rsid w:val="4A902118"/>
    <w:rsid w:val="4ACE1952"/>
    <w:rsid w:val="4ADB7BCB"/>
    <w:rsid w:val="4B125CE2"/>
    <w:rsid w:val="4B7D0C82"/>
    <w:rsid w:val="4C3752D5"/>
    <w:rsid w:val="4C4719BC"/>
    <w:rsid w:val="4CDC2F1E"/>
    <w:rsid w:val="4D3D3009"/>
    <w:rsid w:val="4E616639"/>
    <w:rsid w:val="4E760336"/>
    <w:rsid w:val="4EED76F5"/>
    <w:rsid w:val="4FBC621D"/>
    <w:rsid w:val="4FFF25AD"/>
    <w:rsid w:val="500E0B93"/>
    <w:rsid w:val="501614CC"/>
    <w:rsid w:val="51033C6E"/>
    <w:rsid w:val="52796647"/>
    <w:rsid w:val="52AD4542"/>
    <w:rsid w:val="530028C4"/>
    <w:rsid w:val="53095C1D"/>
    <w:rsid w:val="53C4413E"/>
    <w:rsid w:val="54106B69"/>
    <w:rsid w:val="541F7CBA"/>
    <w:rsid w:val="54460618"/>
    <w:rsid w:val="551C150B"/>
    <w:rsid w:val="56B714EC"/>
    <w:rsid w:val="576951CC"/>
    <w:rsid w:val="57A13DDA"/>
    <w:rsid w:val="57D12A81"/>
    <w:rsid w:val="57E92E3B"/>
    <w:rsid w:val="57F95B34"/>
    <w:rsid w:val="59284923"/>
    <w:rsid w:val="59B4214B"/>
    <w:rsid w:val="59CA7788"/>
    <w:rsid w:val="5AA61EED"/>
    <w:rsid w:val="5C003935"/>
    <w:rsid w:val="5CAD23D6"/>
    <w:rsid w:val="5D012082"/>
    <w:rsid w:val="5D742AA8"/>
    <w:rsid w:val="5D9562FF"/>
    <w:rsid w:val="5DAA7811"/>
    <w:rsid w:val="5DBD19D9"/>
    <w:rsid w:val="5EAA5DDA"/>
    <w:rsid w:val="5EE766F3"/>
    <w:rsid w:val="5F2E2567"/>
    <w:rsid w:val="5F703025"/>
    <w:rsid w:val="60200738"/>
    <w:rsid w:val="6139510F"/>
    <w:rsid w:val="61616C24"/>
    <w:rsid w:val="62A15DCF"/>
    <w:rsid w:val="62E713B6"/>
    <w:rsid w:val="636C7B02"/>
    <w:rsid w:val="63C5D438"/>
    <w:rsid w:val="64A2611F"/>
    <w:rsid w:val="65380143"/>
    <w:rsid w:val="653E6BF8"/>
    <w:rsid w:val="653F54CE"/>
    <w:rsid w:val="6578453C"/>
    <w:rsid w:val="657F3B1C"/>
    <w:rsid w:val="665A00E6"/>
    <w:rsid w:val="66F45E44"/>
    <w:rsid w:val="67452B44"/>
    <w:rsid w:val="68784853"/>
    <w:rsid w:val="688A1CCC"/>
    <w:rsid w:val="68AD6BF3"/>
    <w:rsid w:val="697551DA"/>
    <w:rsid w:val="6A8B5B0D"/>
    <w:rsid w:val="6BC80A5F"/>
    <w:rsid w:val="6BF6265F"/>
    <w:rsid w:val="6BF9599D"/>
    <w:rsid w:val="6C5C6966"/>
    <w:rsid w:val="6C7D068A"/>
    <w:rsid w:val="6CBA4FA6"/>
    <w:rsid w:val="6E0C5999"/>
    <w:rsid w:val="6E2A65EF"/>
    <w:rsid w:val="6E5813AF"/>
    <w:rsid w:val="6EC24A7A"/>
    <w:rsid w:val="6FDFC41A"/>
    <w:rsid w:val="700D56A5"/>
    <w:rsid w:val="703C6B57"/>
    <w:rsid w:val="703F2826"/>
    <w:rsid w:val="70742B9C"/>
    <w:rsid w:val="70DF5DB7"/>
    <w:rsid w:val="70E35615"/>
    <w:rsid w:val="70F80C27"/>
    <w:rsid w:val="713A4D9B"/>
    <w:rsid w:val="720C2BDC"/>
    <w:rsid w:val="72275320"/>
    <w:rsid w:val="72A66B8C"/>
    <w:rsid w:val="732C5407"/>
    <w:rsid w:val="73AA5759"/>
    <w:rsid w:val="73B40E35"/>
    <w:rsid w:val="75C31BF5"/>
    <w:rsid w:val="76007326"/>
    <w:rsid w:val="76022BFA"/>
    <w:rsid w:val="7662101C"/>
    <w:rsid w:val="76FF0727"/>
    <w:rsid w:val="7730000D"/>
    <w:rsid w:val="778356EE"/>
    <w:rsid w:val="77ADF1F2"/>
    <w:rsid w:val="783B1B25"/>
    <w:rsid w:val="7984574E"/>
    <w:rsid w:val="79E104AA"/>
    <w:rsid w:val="79F71A7C"/>
    <w:rsid w:val="7A9419C0"/>
    <w:rsid w:val="7AC35E02"/>
    <w:rsid w:val="7B1D3559"/>
    <w:rsid w:val="7B282E1A"/>
    <w:rsid w:val="7C5E5DE2"/>
    <w:rsid w:val="7D0F17D2"/>
    <w:rsid w:val="7ED384CC"/>
    <w:rsid w:val="7FBF7E01"/>
    <w:rsid w:val="7FD5740C"/>
    <w:rsid w:val="7FE65FC0"/>
    <w:rsid w:val="8CFFD87A"/>
    <w:rsid w:val="8FCFF58A"/>
    <w:rsid w:val="9DBD2C05"/>
    <w:rsid w:val="BFD3CBD1"/>
    <w:rsid w:val="CCF3EF54"/>
    <w:rsid w:val="DFFF0D06"/>
    <w:rsid w:val="E73F0288"/>
    <w:rsid w:val="EBE7162C"/>
    <w:rsid w:val="EE7E60B1"/>
    <w:rsid w:val="EFDF1334"/>
    <w:rsid w:val="EFF95CB4"/>
    <w:rsid w:val="F6EF9A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120" w:after="12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line="440" w:lineRule="exact"/>
    </w:pPr>
    <w:rPr>
      <w:rFonts w:ascii="宋体" w:hAnsi="宋体"/>
      <w:sz w:val="22"/>
    </w:rPr>
  </w:style>
  <w:style w:type="paragraph" w:styleId="9">
    <w:name w:val="Block Text"/>
    <w:basedOn w:val="1"/>
    <w:qFormat/>
    <w:uiPriority w:val="0"/>
    <w:pPr>
      <w:spacing w:after="120"/>
      <w:ind w:left="1440" w:leftChars="700" w:right="1440" w:rightChars="700"/>
    </w:pPr>
  </w:style>
  <w:style w:type="paragraph" w:styleId="10">
    <w:name w:val="index 4"/>
    <w:basedOn w:val="1"/>
    <w:next w:val="1"/>
    <w:unhideWhenUsed/>
    <w:qFormat/>
    <w:uiPriority w:val="99"/>
    <w:pPr>
      <w:ind w:left="600" w:leftChars="600"/>
    </w:pPr>
    <w:rPr>
      <w:rFonts w:ascii="Verdana" w:hAnsi="Verdana"/>
    </w:rPr>
  </w:style>
  <w:style w:type="paragraph" w:styleId="11">
    <w:name w:val="toc 3"/>
    <w:basedOn w:val="1"/>
    <w:next w:val="1"/>
    <w:qFormat/>
    <w:uiPriority w:val="39"/>
    <w:pPr>
      <w:tabs>
        <w:tab w:val="right" w:leader="dot" w:pos="9231"/>
      </w:tabs>
      <w:spacing w:line="360" w:lineRule="exact"/>
      <w:ind w:left="418" w:hanging="418" w:hangingChars="190"/>
    </w:pPr>
    <w:rPr>
      <w:rFonts w:ascii="黑体" w:eastAsia="黑体"/>
      <w:sz w:val="22"/>
      <w:szCs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szCs w:val="20"/>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First Indent 2"/>
    <w:basedOn w:val="1"/>
    <w:next w:val="1"/>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character" w:customStyle="1" w:styleId="25">
    <w:name w:val="apple-converted-space"/>
    <w:basedOn w:val="21"/>
    <w:qFormat/>
    <w:uiPriority w:val="99"/>
  </w:style>
  <w:style w:type="paragraph" w:customStyle="1" w:styleId="26">
    <w:name w:val="p0"/>
    <w:basedOn w:val="1"/>
    <w:qFormat/>
    <w:uiPriority w:val="99"/>
    <w:pPr>
      <w:widowControl/>
    </w:pPr>
    <w:rPr>
      <w:rFonts w:ascii="Times New Roman" w:hAnsi="Times New Roman" w:cs="Times New Roman"/>
      <w:kern w:val="0"/>
    </w:rPr>
  </w:style>
  <w:style w:type="paragraph" w:customStyle="1" w:styleId="27">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28">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9">
    <w:name w:val="正文11"/>
    <w:next w:val="3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0">
    <w:name w:val="目录 11"/>
    <w:basedOn w:val="29"/>
    <w:next w:val="29"/>
    <w:qFormat/>
    <w:uiPriority w:val="0"/>
    <w:pPr>
      <w:widowControl/>
      <w:tabs>
        <w:tab w:val="left" w:pos="142"/>
        <w:tab w:val="right" w:leader="dot" w:pos="9617"/>
      </w:tabs>
      <w:spacing w:after="100" w:line="276" w:lineRule="auto"/>
      <w:jc w:val="left"/>
    </w:pPr>
    <w:rPr>
      <w:rFonts w:eastAsia="黑体"/>
      <w:sz w:val="24"/>
      <w:szCs w:val="22"/>
    </w:rPr>
  </w:style>
  <w:style w:type="paragraph" w:customStyle="1" w:styleId="31">
    <w:name w:val="Normal_19_0"/>
    <w:basedOn w:val="1"/>
    <w:qFormat/>
    <w:uiPriority w:val="0"/>
    <w:rPr>
      <w:rFonts w:ascii="黑体" w:hAnsi="黑体" w:eastAsia="黑体"/>
      <w:b/>
      <w:sz w:val="32"/>
    </w:rPr>
  </w:style>
  <w:style w:type="paragraph" w:customStyle="1" w:styleId="32">
    <w:name w:val="Normal_20_0"/>
    <w:qFormat/>
    <w:uiPriority w:val="0"/>
    <w:pPr>
      <w:widowControl w:val="0"/>
      <w:jc w:val="both"/>
    </w:pPr>
    <w:rPr>
      <w:rFonts w:ascii="Calibri" w:hAnsi="Calibri" w:eastAsia="宋体" w:cs="Times New Roman"/>
      <w:lang w:val="en-US" w:eastAsia="zh-CN" w:bidi="ar-SA"/>
    </w:rPr>
  </w:style>
  <w:style w:type="character" w:customStyle="1" w:styleId="33">
    <w:name w:val="font0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5379</Words>
  <Characters>5591</Characters>
  <Lines>1</Lines>
  <Paragraphs>1</Paragraphs>
  <TotalTime>1</TotalTime>
  <ScaleCrop>false</ScaleCrop>
  <LinksUpToDate>false</LinksUpToDate>
  <CharactersWithSpaces>5652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2021-05-14T22:41:00Z</dcterms:created>
  <dc:creator>78541</dc:creator>
  <cp:lastModifiedBy>Mr.right</cp:lastModifiedBy>
  <cp:lastPrinted>2025-09-23T02:36:00Z</cp:lastPrinted>
  <dcterms:modified xsi:type="dcterms:W3CDTF">2025-11-18T01:48:27Z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7FBCF3CC41744DEAB556546C51F59A26_13</vt:lpwstr>
  </property>
  <property fmtid="{D5CDD505-2E9C-101B-9397-08002B2CF9AE}" pid="4" name="KSOTemplateDocerSaveRecord">
    <vt:lpwstr>eyJoZGlkIjoiNzhmNWYzYzkzMmRiMTJjMGM0ZDYzZTg5ZmY0MGI5NzYiLCJ1c2VySWQiOiIyNDY2NDc3MTYifQ==</vt:lpwstr>
  </property>
</Properties>
</file>