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keepLines/>
        <w:ind w:firstLine="0" w:firstLineChars="0"/>
        <w:jc w:val="center"/>
        <w:rPr>
          <w:rFonts w:hint="eastAsia" w:ascii="黑体" w:hAnsi="黑体" w:eastAsia="黑体"/>
          <w:color w:val="333333"/>
          <w:sz w:val="44"/>
          <w:szCs w:val="44"/>
        </w:rPr>
      </w:pPr>
      <w:r>
        <w:rPr>
          <w:rFonts w:hint="eastAsia" w:ascii="黑体" w:hAnsi="黑体" w:eastAsia="黑体"/>
          <w:color w:val="333333"/>
          <w:sz w:val="44"/>
          <w:szCs w:val="44"/>
        </w:rPr>
        <w:t>关于开展2026年秋季学期开学前后</w:t>
      </w:r>
    </w:p>
    <w:p>
      <w:pPr>
        <w:pStyle w:val="8"/>
        <w:keepNext/>
        <w:keepLines/>
        <w:ind w:firstLine="0" w:firstLineChars="0"/>
        <w:jc w:val="center"/>
        <w:rPr>
          <w:rFonts w:ascii="黑体" w:hAnsi="黑体" w:eastAsia="黑体"/>
          <w:color w:val="333333"/>
          <w:sz w:val="44"/>
          <w:szCs w:val="44"/>
        </w:rPr>
      </w:pPr>
      <w:r>
        <w:rPr>
          <w:rFonts w:hint="eastAsia" w:ascii="黑体" w:hAnsi="黑体" w:eastAsia="黑体"/>
          <w:color w:val="333333"/>
          <w:sz w:val="44"/>
          <w:szCs w:val="44"/>
        </w:rPr>
        <w:t>安全检查的通知</w:t>
      </w:r>
    </w:p>
    <w:p>
      <w:pPr>
        <w:pStyle w:val="8"/>
        <w:keepNext/>
        <w:keepLines/>
        <w:ind w:firstLine="0" w:firstLineChars="0"/>
        <w:jc w:val="center"/>
        <w:rPr>
          <w:rFonts w:ascii="方正小标宋简体" w:eastAsia="方正小标宋简体"/>
          <w:color w:val="333333"/>
          <w:sz w:val="44"/>
          <w:szCs w:val="44"/>
        </w:rPr>
      </w:pPr>
    </w:p>
    <w:p>
      <w:pPr>
        <w:pStyle w:val="8"/>
        <w:keepNext/>
        <w:keepLines/>
        <w:ind w:firstLine="0" w:firstLineChars="0"/>
        <w:rPr>
          <w:rFonts w:ascii="仿宋" w:hAnsi="仿宋" w:cs="仿宋_GB2312"/>
          <w:color w:val="333333"/>
          <w:sz w:val="32"/>
          <w:szCs w:val="32"/>
        </w:rPr>
      </w:pPr>
      <w:r>
        <w:rPr>
          <w:rFonts w:hint="eastAsia" w:ascii="仿宋" w:hAnsi="仿宋" w:cs="仿宋_GB2312"/>
          <w:color w:val="333333"/>
          <w:sz w:val="32"/>
          <w:szCs w:val="32"/>
        </w:rPr>
        <w:t>各部门、各单位：</w:t>
      </w:r>
    </w:p>
    <w:p>
      <w:pPr>
        <w:keepNext/>
        <w:keepLines/>
        <w:ind w:firstLine="640"/>
        <w:rPr>
          <w:rFonts w:hint="eastAsia" w:ascii="Times New Roman" w:hAnsi="Times New Roman" w:eastAsia="仿宋"/>
          <w:color w:val="333333"/>
          <w:szCs w:val="32"/>
          <w:lang w:eastAsia="zh-CN"/>
        </w:rPr>
      </w:pPr>
      <w:r>
        <w:rPr>
          <w:rFonts w:hint="eastAsia" w:ascii="Times New Roman" w:hAnsi="Times New Roman"/>
          <w:color w:val="333333"/>
          <w:szCs w:val="32"/>
          <w:lang w:eastAsia="zh-CN"/>
        </w:rPr>
        <w:t>为深入贯彻习近平总书记关于安全生产的重要论述和重要指示精神，切实做好开学前后校园安全管理，维护校园稳定。根据省教育厅和学校工作部署，泰州校区、翰林学院安全委员会决定开展2026年秋季学期开学前后校园安全大检查工作，现将有关事项通知如下：</w:t>
      </w:r>
    </w:p>
    <w:p>
      <w:pPr>
        <w:pStyle w:val="18"/>
        <w:numPr>
          <w:ilvl w:val="0"/>
          <w:numId w:val="1"/>
        </w:numPr>
        <w:ind w:firstLineChars="0"/>
        <w:rPr>
          <w:rFonts w:ascii="黑体" w:hAnsi="黑体" w:eastAsia="黑体" w:cs="黑体"/>
          <w:color w:val="333333"/>
          <w:szCs w:val="32"/>
        </w:rPr>
      </w:pPr>
      <w:r>
        <w:rPr>
          <w:rFonts w:hint="eastAsia" w:ascii="黑体" w:hAnsi="黑体" w:eastAsia="黑体" w:cs="黑体"/>
          <w:color w:val="333333"/>
          <w:szCs w:val="32"/>
        </w:rPr>
        <w:t>本次检查主要内容</w:t>
      </w:r>
    </w:p>
    <w:tbl>
      <w:tblPr>
        <w:tblStyle w:val="10"/>
        <w:tblW w:w="4896" w:type="pct"/>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23"/>
        <w:gridCol w:w="4335"/>
        <w:gridCol w:w="2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b/>
                <w:bCs/>
                <w:sz w:val="24"/>
                <w:szCs w:val="24"/>
              </w:rPr>
              <w:t>序号</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b/>
                <w:bCs/>
                <w:sz w:val="24"/>
                <w:szCs w:val="24"/>
              </w:rPr>
              <w:t>检查内容</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b/>
                <w:bCs/>
                <w:sz w:val="24"/>
                <w:szCs w:val="24"/>
              </w:rPr>
              <w:t>牵头责任部门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天然气管线安全检查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2</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消防设施安全检查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3</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变配电设施安全检查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4</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网络中心机房</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党委办公室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5</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电梯类特种设备安全检查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6</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实验室安全检查</w:t>
            </w:r>
            <w:r>
              <w:rPr>
                <w:rFonts w:hint="eastAsia" w:ascii="仿宋_GB2312" w:hAnsi="仿宋" w:eastAsia="仿宋_GB2312" w:cs="宋体"/>
                <w:sz w:val="21"/>
              </w:rPr>
              <w:t>（含科研实训室）</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实验室管理处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7</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校园交通安全检查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8</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校园治安管理检查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bookmarkStart w:id="0" w:name="_GoBack" w:colFirst="1" w:colLast="2"/>
            <w:r>
              <w:rPr>
                <w:rFonts w:hint="eastAsia" w:ascii="仿宋_GB2312" w:hAnsi="宋体" w:eastAsia="仿宋_GB2312" w:cs="宋体"/>
                <w:sz w:val="24"/>
                <w:szCs w:val="24"/>
              </w:rPr>
              <w:t>9</w:t>
            </w:r>
          </w:p>
        </w:tc>
        <w:tc>
          <w:tcPr>
            <w:tcW w:w="4335" w:type="dxa"/>
            <w:vAlign w:val="center"/>
          </w:tcPr>
          <w:p>
            <w:pPr>
              <w:pStyle w:val="17"/>
              <w:ind w:firstLine="0" w:firstLineChars="0"/>
              <w:jc w:val="center"/>
              <w:rPr>
                <w:rFonts w:ascii="仿宋_GB2312" w:hAnsi="宋体" w:eastAsia="仿宋_GB2312" w:cs="宋体"/>
                <w:sz w:val="24"/>
                <w:szCs w:val="24"/>
                <w:highlight w:val="none"/>
              </w:rPr>
            </w:pPr>
            <w:r>
              <w:rPr>
                <w:rFonts w:hint="eastAsia" w:ascii="仿宋_GB2312" w:hAnsi="仿宋" w:eastAsia="仿宋_GB2312" w:cs="宋体"/>
                <w:sz w:val="24"/>
                <w:szCs w:val="24"/>
                <w:highlight w:val="none"/>
              </w:rPr>
              <w:t>学生宿舍管理检查</w:t>
            </w:r>
          </w:p>
        </w:tc>
        <w:tc>
          <w:tcPr>
            <w:tcW w:w="2805" w:type="dxa"/>
            <w:vAlign w:val="center"/>
          </w:tcPr>
          <w:p>
            <w:pPr>
              <w:pStyle w:val="17"/>
              <w:ind w:firstLine="0" w:firstLineChars="0"/>
              <w:jc w:val="center"/>
              <w:rPr>
                <w:rFonts w:ascii="仿宋_GB2312" w:hAnsi="仿宋" w:eastAsia="仿宋_GB2312" w:cs="宋体"/>
                <w:sz w:val="24"/>
                <w:szCs w:val="24"/>
                <w:highlight w:val="none"/>
              </w:rPr>
            </w:pPr>
            <w:r>
              <w:rPr>
                <w:rFonts w:hint="eastAsia" w:ascii="仿宋_GB2312" w:hAnsi="仿宋" w:eastAsia="仿宋_GB2312" w:cs="宋体"/>
                <w:sz w:val="24"/>
                <w:szCs w:val="24"/>
                <w:highlight w:val="none"/>
              </w:rPr>
              <w:t>泰州校区团工委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10</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校舍安全与安全文明施工检查</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11</w:t>
            </w:r>
          </w:p>
        </w:tc>
        <w:tc>
          <w:tcPr>
            <w:tcW w:w="4335" w:type="dxa"/>
            <w:vAlign w:val="center"/>
          </w:tcPr>
          <w:p>
            <w:pPr>
              <w:pStyle w:val="17"/>
              <w:ind w:firstLine="0" w:firstLineChars="0"/>
              <w:jc w:val="center"/>
              <w:rPr>
                <w:rFonts w:ascii="仿宋_GB2312" w:hAnsi="宋体" w:eastAsia="仿宋_GB2312" w:cs="宋体"/>
                <w:sz w:val="24"/>
                <w:szCs w:val="24"/>
                <w:highlight w:val="none"/>
              </w:rPr>
            </w:pPr>
            <w:r>
              <w:rPr>
                <w:rFonts w:hint="eastAsia" w:ascii="仿宋_GB2312" w:hAnsi="仿宋" w:eastAsia="仿宋_GB2312" w:cs="宋体"/>
                <w:sz w:val="24"/>
                <w:szCs w:val="24"/>
                <w:highlight w:val="none"/>
              </w:rPr>
              <w:t>学生创新创业及社团用房安全专项检查</w:t>
            </w:r>
          </w:p>
        </w:tc>
        <w:tc>
          <w:tcPr>
            <w:tcW w:w="2805" w:type="dxa"/>
            <w:vAlign w:val="center"/>
          </w:tcPr>
          <w:p>
            <w:pPr>
              <w:pStyle w:val="17"/>
              <w:ind w:firstLine="0" w:firstLineChars="0"/>
              <w:jc w:val="center"/>
              <w:rPr>
                <w:rFonts w:ascii="仿宋_GB2312" w:hAnsi="仿宋" w:eastAsia="仿宋_GB2312" w:cs="宋体"/>
                <w:sz w:val="24"/>
                <w:szCs w:val="24"/>
                <w:highlight w:val="none"/>
              </w:rPr>
            </w:pPr>
            <w:r>
              <w:rPr>
                <w:rFonts w:hint="eastAsia" w:ascii="仿宋_GB2312" w:hAnsi="仿宋" w:eastAsia="仿宋_GB2312" w:cs="宋体"/>
                <w:sz w:val="24"/>
                <w:szCs w:val="24"/>
                <w:highlight w:val="none"/>
              </w:rPr>
              <w:t>泰州校区团工委、翰林学院团委</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12</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食品卫生安全检查</w:t>
            </w:r>
            <w:r>
              <w:rPr>
                <w:rFonts w:hint="eastAsia" w:ascii="仿宋_GB2312" w:hAnsi="仿宋" w:eastAsia="仿宋_GB2312" w:cs="宋体"/>
                <w:sz w:val="21"/>
              </w:rPr>
              <w:t>（含商业网点）</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13</w:t>
            </w:r>
          </w:p>
        </w:tc>
        <w:tc>
          <w:tcPr>
            <w:tcW w:w="433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学生实习实训安全管理检查</w:t>
            </w:r>
            <w:r>
              <w:rPr>
                <w:rFonts w:hint="eastAsia" w:ascii="仿宋_GB2312" w:hAnsi="仿宋" w:eastAsia="仿宋_GB2312" w:cs="宋体"/>
                <w:sz w:val="21"/>
              </w:rPr>
              <w:t>(含校外实习)</w:t>
            </w:r>
          </w:p>
        </w:tc>
        <w:tc>
          <w:tcPr>
            <w:tcW w:w="2805"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14</w:t>
            </w:r>
          </w:p>
        </w:tc>
        <w:tc>
          <w:tcPr>
            <w:tcW w:w="4335"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网络与信息安全检查</w:t>
            </w:r>
          </w:p>
        </w:tc>
        <w:tc>
          <w:tcPr>
            <w:tcW w:w="2805"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党委办公室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15</w:t>
            </w:r>
          </w:p>
        </w:tc>
        <w:tc>
          <w:tcPr>
            <w:tcW w:w="4335"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学生组织与社团管理</w:t>
            </w:r>
          </w:p>
        </w:tc>
        <w:tc>
          <w:tcPr>
            <w:tcW w:w="2805"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党委宣传部、泰州校区团工委、翰林学院团委</w:t>
            </w:r>
          </w:p>
        </w:tc>
      </w:tr>
    </w:tbl>
    <w:p>
      <w:pPr>
        <w:keepNext/>
        <w:keepLines/>
        <w:ind w:firstLine="643"/>
        <w:rPr>
          <w:rFonts w:ascii="Times New Roman" w:hAnsi="Times New Roman"/>
          <w:b/>
          <w:bCs/>
          <w:color w:val="333333"/>
          <w:szCs w:val="32"/>
        </w:rPr>
      </w:pPr>
      <w:r>
        <w:rPr>
          <w:rFonts w:hint="eastAsia" w:ascii="Times New Roman" w:hAnsi="Times New Roman"/>
          <w:b/>
          <w:bCs/>
          <w:color w:val="333333"/>
          <w:szCs w:val="32"/>
        </w:rPr>
        <w:t>具体检查内容</w:t>
      </w:r>
      <w:r>
        <w:rPr>
          <w:rFonts w:hint="eastAsia" w:ascii="Times New Roman" w:hAnsi="Times New Roman"/>
          <w:b/>
          <w:bCs/>
          <w:color w:val="333333"/>
          <w:szCs w:val="32"/>
          <w:lang w:eastAsia="zh-CN"/>
        </w:rPr>
        <w:t>参考</w:t>
      </w:r>
      <w:r>
        <w:rPr>
          <w:rFonts w:hint="eastAsia" w:ascii="Times New Roman" w:hAnsi="Times New Roman"/>
          <w:b/>
          <w:bCs/>
          <w:color w:val="333333"/>
          <w:szCs w:val="32"/>
        </w:rPr>
        <w:t>附件1《校园安全大检查重点范围清单》。</w:t>
      </w:r>
    </w:p>
    <w:p>
      <w:pPr>
        <w:ind w:firstLine="640"/>
        <w:rPr>
          <w:rFonts w:ascii="黑体" w:hAnsi="黑体" w:eastAsia="黑体" w:cs="黑体"/>
          <w:color w:val="333333"/>
          <w:szCs w:val="32"/>
        </w:rPr>
      </w:pPr>
      <w:r>
        <w:rPr>
          <w:rFonts w:hint="eastAsia" w:ascii="黑体" w:hAnsi="黑体" w:eastAsia="黑体" w:cs="黑体"/>
          <w:color w:val="333333"/>
          <w:szCs w:val="32"/>
        </w:rPr>
        <w:t>二、检查安排</w:t>
      </w:r>
    </w:p>
    <w:p>
      <w:pPr>
        <w:spacing w:line="580" w:lineRule="exact"/>
        <w:ind w:firstLine="640"/>
        <w:rPr>
          <w:rFonts w:hint="eastAsia" w:ascii="Times New Roman" w:hAnsi="Times New Roman"/>
          <w:color w:val="333333"/>
          <w:szCs w:val="32"/>
          <w:lang w:eastAsia="zh-CN"/>
        </w:rPr>
      </w:pPr>
      <w:r>
        <w:rPr>
          <w:rFonts w:hint="eastAsia" w:ascii="Times New Roman" w:hAnsi="Times New Roman"/>
          <w:color w:val="333333"/>
          <w:szCs w:val="32"/>
          <w:lang w:eastAsia="zh-CN"/>
        </w:rPr>
        <w:t>（一）各部门（单位）</w:t>
      </w:r>
      <w:r>
        <w:rPr>
          <w:rFonts w:ascii="Times New Roman" w:hAnsi="Times New Roman"/>
          <w:color w:val="333333"/>
          <w:szCs w:val="32"/>
        </w:rPr>
        <w:t>自查</w:t>
      </w:r>
      <w:r>
        <w:rPr>
          <w:rFonts w:hint="eastAsia" w:ascii="Times New Roman" w:hAnsi="Times New Roman"/>
          <w:color w:val="333333"/>
          <w:szCs w:val="32"/>
          <w:lang w:eastAsia="zh-CN"/>
        </w:rPr>
        <w:t>自纠</w:t>
      </w:r>
    </w:p>
    <w:p>
      <w:pPr>
        <w:spacing w:line="580" w:lineRule="exact"/>
        <w:ind w:firstLine="640"/>
        <w:rPr>
          <w:rFonts w:hint="eastAsia" w:ascii="Times New Roman" w:hAnsi="Times New Roman"/>
          <w:color w:val="333333"/>
          <w:szCs w:val="32"/>
          <w:highlight w:val="none"/>
        </w:rPr>
      </w:pPr>
      <w:r>
        <w:rPr>
          <w:rFonts w:ascii="Times New Roman" w:hAnsi="Times New Roman"/>
          <w:color w:val="333333"/>
          <w:szCs w:val="32"/>
        </w:rPr>
        <w:t>请</w:t>
      </w:r>
      <w:r>
        <w:rPr>
          <w:rFonts w:hint="eastAsia" w:ascii="Times New Roman" w:hAnsi="Times New Roman"/>
          <w:color w:val="333333"/>
          <w:szCs w:val="32"/>
          <w:lang w:eastAsia="zh-CN"/>
        </w:rPr>
        <w:t>各部门（单位）</w:t>
      </w:r>
      <w:r>
        <w:rPr>
          <w:rFonts w:ascii="Times New Roman" w:hAnsi="Times New Roman"/>
          <w:color w:val="333333"/>
          <w:szCs w:val="32"/>
        </w:rPr>
        <w:t>对照</w:t>
      </w:r>
      <w:r>
        <w:rPr>
          <w:rFonts w:hint="eastAsia" w:ascii="Times New Roman" w:hAnsi="Times New Roman"/>
          <w:color w:val="333333"/>
          <w:szCs w:val="32"/>
        </w:rPr>
        <w:t>《校园安全大检查重点范围清单》</w:t>
      </w:r>
      <w:r>
        <w:rPr>
          <w:rFonts w:ascii="Times New Roman" w:hAnsi="Times New Roman"/>
          <w:color w:val="333333"/>
          <w:szCs w:val="32"/>
        </w:rPr>
        <w:t>全面开展自查自纠工作</w:t>
      </w:r>
      <w:r>
        <w:rPr>
          <w:rFonts w:hint="eastAsia" w:ascii="Times New Roman" w:hAnsi="Times New Roman"/>
          <w:color w:val="333333"/>
          <w:szCs w:val="32"/>
        </w:rPr>
        <w:t>。</w:t>
      </w:r>
      <w:r>
        <w:rPr>
          <w:rFonts w:ascii="Times New Roman" w:hAnsi="Times New Roman"/>
          <w:color w:val="333333"/>
          <w:szCs w:val="32"/>
        </w:rPr>
        <w:t>主要负责人要认真履行本</w:t>
      </w:r>
      <w:r>
        <w:rPr>
          <w:rFonts w:hint="eastAsia" w:ascii="Times New Roman" w:hAnsi="Times New Roman"/>
          <w:color w:val="333333"/>
          <w:szCs w:val="32"/>
        </w:rPr>
        <w:t>部门</w:t>
      </w:r>
      <w:r>
        <w:rPr>
          <w:rFonts w:ascii="Times New Roman" w:hAnsi="Times New Roman"/>
          <w:color w:val="333333"/>
          <w:szCs w:val="32"/>
        </w:rPr>
        <w:t>安全第一责任人职责，</w:t>
      </w:r>
      <w:r>
        <w:rPr>
          <w:rFonts w:hint="eastAsia" w:ascii="Times New Roman" w:hAnsi="Times New Roman"/>
          <w:color w:val="333333"/>
          <w:szCs w:val="32"/>
        </w:rPr>
        <w:t>真正深入排查本部门安全隐患问题</w:t>
      </w:r>
      <w:r>
        <w:rPr>
          <w:rFonts w:hint="eastAsia" w:ascii="Times New Roman" w:hAnsi="Times New Roman"/>
          <w:color w:val="333333"/>
          <w:szCs w:val="32"/>
          <w:lang w:eastAsia="zh-CN"/>
        </w:rPr>
        <w:t>，</w:t>
      </w:r>
      <w:r>
        <w:rPr>
          <w:rFonts w:ascii="Times New Roman" w:hAnsi="Times New Roman"/>
          <w:color w:val="333333"/>
          <w:szCs w:val="32"/>
        </w:rPr>
        <w:t>建立安全隐患检查台账</w:t>
      </w:r>
      <w:r>
        <w:rPr>
          <w:rFonts w:hint="eastAsia" w:ascii="Times New Roman" w:hAnsi="Times New Roman"/>
          <w:color w:val="333333"/>
          <w:szCs w:val="32"/>
          <w:lang w:eastAsia="zh-CN"/>
        </w:rPr>
        <w:t>，对自查中发现的安全隐患，要及时制定整改措施，明确整改责任人及整改期限，能立即整改的要立即整改，不能立即整改的要采取有效的防范措施</w:t>
      </w:r>
      <w:r>
        <w:rPr>
          <w:rFonts w:ascii="Times New Roman" w:hAnsi="Times New Roman"/>
          <w:color w:val="333333"/>
          <w:szCs w:val="32"/>
        </w:rPr>
        <w:t>。</w:t>
      </w:r>
      <w:r>
        <w:rPr>
          <w:rFonts w:hint="eastAsia" w:ascii="Times New Roman" w:hAnsi="Times New Roman"/>
          <w:color w:val="333333"/>
          <w:szCs w:val="32"/>
        </w:rPr>
        <w:t>对长期遗留问题，本部门应作为常态化工作进行梳理与推进，排查漏洞，按章办事、边清边改、举一反三。各部门、各单位的自查情况记录在《202</w:t>
      </w:r>
      <w:r>
        <w:rPr>
          <w:rFonts w:hint="eastAsia" w:ascii="Times New Roman" w:hAnsi="Times New Roman"/>
          <w:color w:val="333333"/>
          <w:szCs w:val="32"/>
          <w:lang w:val="en-US" w:eastAsia="zh-CN"/>
        </w:rPr>
        <w:t>6</w:t>
      </w:r>
      <w:r>
        <w:rPr>
          <w:rFonts w:hint="eastAsia" w:ascii="Times New Roman" w:hAnsi="Times New Roman"/>
          <w:color w:val="333333"/>
          <w:szCs w:val="32"/>
        </w:rPr>
        <w:t>年</w:t>
      </w:r>
      <w:r>
        <w:rPr>
          <w:rFonts w:hint="eastAsia" w:ascii="Times New Roman" w:hAnsi="Times New Roman"/>
          <w:color w:val="333333"/>
          <w:szCs w:val="32"/>
          <w:lang w:eastAsia="zh-CN"/>
        </w:rPr>
        <w:t>秋季学期开学前后</w:t>
      </w:r>
      <w:r>
        <w:rPr>
          <w:rFonts w:hint="eastAsia" w:ascii="Times New Roman" w:hAnsi="Times New Roman"/>
          <w:color w:val="333333"/>
          <w:szCs w:val="32"/>
        </w:rPr>
        <w:t>安全大检查自查情</w:t>
      </w:r>
      <w:r>
        <w:rPr>
          <w:rFonts w:hint="eastAsia" w:ascii="Times New Roman" w:hAnsi="Times New Roman"/>
          <w:color w:val="333333"/>
          <w:szCs w:val="32"/>
          <w:highlight w:val="none"/>
        </w:rPr>
        <w:t>况登记表》（附件2），于</w:t>
      </w:r>
      <w:r>
        <w:rPr>
          <w:rFonts w:hint="eastAsia" w:ascii="Times New Roman" w:hAnsi="Times New Roman"/>
          <w:b/>
          <w:bCs/>
          <w:color w:val="333333"/>
          <w:szCs w:val="32"/>
          <w:highlight w:val="none"/>
          <w:lang w:val="en-US" w:eastAsia="zh-CN"/>
        </w:rPr>
        <w:t>9</w:t>
      </w:r>
      <w:r>
        <w:rPr>
          <w:rFonts w:ascii="Times New Roman" w:hAnsi="Times New Roman"/>
          <w:b/>
          <w:bCs/>
          <w:color w:val="333333"/>
          <w:szCs w:val="32"/>
          <w:highlight w:val="none"/>
        </w:rPr>
        <w:t>月</w:t>
      </w:r>
      <w:r>
        <w:rPr>
          <w:rFonts w:hint="eastAsia" w:ascii="Times New Roman" w:hAnsi="Times New Roman"/>
          <w:b/>
          <w:bCs/>
          <w:color w:val="333333"/>
          <w:szCs w:val="32"/>
          <w:highlight w:val="none"/>
          <w:lang w:val="en-US" w:eastAsia="zh-CN"/>
        </w:rPr>
        <w:t>4</w:t>
      </w:r>
      <w:r>
        <w:rPr>
          <w:rFonts w:ascii="Times New Roman" w:hAnsi="Times New Roman"/>
          <w:b/>
          <w:bCs/>
          <w:color w:val="333333"/>
          <w:szCs w:val="32"/>
          <w:highlight w:val="none"/>
        </w:rPr>
        <w:t>日</w:t>
      </w:r>
      <w:r>
        <w:rPr>
          <w:rFonts w:hint="eastAsia" w:ascii="Times New Roman" w:hAnsi="Times New Roman"/>
          <w:b/>
          <w:bCs/>
          <w:color w:val="333333"/>
          <w:szCs w:val="32"/>
          <w:highlight w:val="none"/>
          <w:lang w:eastAsia="zh-CN"/>
        </w:rPr>
        <w:t>前</w:t>
      </w:r>
      <w:r>
        <w:rPr>
          <w:rFonts w:ascii="Times New Roman" w:hAnsi="Times New Roman"/>
          <w:color w:val="333333"/>
          <w:szCs w:val="32"/>
          <w:highlight w:val="none"/>
        </w:rPr>
        <w:t>交至</w:t>
      </w:r>
      <w:r>
        <w:rPr>
          <w:rFonts w:hint="eastAsia" w:ascii="Times New Roman" w:hAnsi="Times New Roman"/>
          <w:color w:val="333333"/>
          <w:szCs w:val="32"/>
          <w:highlight w:val="none"/>
          <w:lang w:eastAsia="zh-CN"/>
        </w:rPr>
        <w:t>双育楼</w:t>
      </w:r>
      <w:r>
        <w:rPr>
          <w:rFonts w:ascii="Times New Roman" w:hAnsi="Times New Roman"/>
          <w:color w:val="333333"/>
          <w:szCs w:val="32"/>
          <w:highlight w:val="none"/>
        </w:rPr>
        <w:t>3</w:t>
      </w:r>
      <w:r>
        <w:rPr>
          <w:rFonts w:hint="eastAsia" w:ascii="Times New Roman" w:hAnsi="Times New Roman"/>
          <w:color w:val="333333"/>
          <w:szCs w:val="32"/>
          <w:highlight w:val="none"/>
        </w:rPr>
        <w:t>15</w:t>
      </w:r>
      <w:r>
        <w:rPr>
          <w:rFonts w:ascii="Times New Roman" w:hAnsi="Times New Roman"/>
          <w:color w:val="333333"/>
          <w:szCs w:val="32"/>
          <w:highlight w:val="none"/>
        </w:rPr>
        <w:t>保卫办公室</w:t>
      </w:r>
      <w:r>
        <w:rPr>
          <w:rFonts w:hint="eastAsia" w:ascii="Times New Roman" w:hAnsi="Times New Roman"/>
          <w:color w:val="333333"/>
          <w:szCs w:val="32"/>
          <w:highlight w:val="none"/>
        </w:rPr>
        <w:t>，联系人：秦伟，电子版文件发送至邮箱：hlbwc@outlook.com。</w:t>
      </w:r>
    </w:p>
    <w:p>
      <w:pPr>
        <w:spacing w:line="580" w:lineRule="exact"/>
        <w:ind w:firstLine="640"/>
        <w:jc w:val="both"/>
        <w:rPr>
          <w:rFonts w:hint="eastAsia" w:ascii="Times New Roman" w:hAnsi="Times New Roman"/>
          <w:color w:val="333333"/>
          <w:szCs w:val="32"/>
          <w:highlight w:val="none"/>
          <w:lang w:eastAsia="zh-CN"/>
        </w:rPr>
      </w:pPr>
      <w:r>
        <w:rPr>
          <w:rFonts w:hint="eastAsia" w:ascii="Times New Roman" w:hAnsi="Times New Roman"/>
          <w:color w:val="333333"/>
          <w:szCs w:val="32"/>
          <w:highlight w:val="none"/>
        </w:rPr>
        <w:t>（二）</w:t>
      </w:r>
      <w:r>
        <w:rPr>
          <w:rFonts w:hint="eastAsia" w:ascii="Times New Roman" w:hAnsi="Times New Roman"/>
          <w:color w:val="333333"/>
          <w:szCs w:val="32"/>
          <w:highlight w:val="none"/>
          <w:lang w:eastAsia="zh-CN"/>
        </w:rPr>
        <w:t>泰州校区</w:t>
      </w:r>
      <w:r>
        <w:rPr>
          <w:rFonts w:hint="eastAsia" w:ascii="Times New Roman" w:hAnsi="Times New Roman"/>
          <w:color w:val="333333"/>
          <w:szCs w:val="32"/>
          <w:highlight w:val="none"/>
          <w:lang w:val="en-US" w:eastAsia="zh-CN"/>
        </w:rPr>
        <w:t>集中</w:t>
      </w:r>
      <w:r>
        <w:rPr>
          <w:rFonts w:hint="eastAsia" w:ascii="Times New Roman" w:hAnsi="Times New Roman"/>
          <w:color w:val="333333"/>
          <w:szCs w:val="32"/>
          <w:highlight w:val="none"/>
          <w:lang w:eastAsia="zh-CN"/>
        </w:rPr>
        <w:t>检查</w:t>
      </w:r>
    </w:p>
    <w:p>
      <w:pPr>
        <w:ind w:firstLine="640"/>
        <w:rPr>
          <w:rFonts w:hint="eastAsia" w:ascii="Times New Roman" w:hAnsi="Times New Roman" w:cs="Times New Roman"/>
          <w:color w:val="333333"/>
          <w:szCs w:val="32"/>
        </w:rPr>
      </w:pPr>
      <w:r>
        <w:rPr>
          <w:rFonts w:hint="eastAsia" w:ascii="Times New Roman" w:hAnsi="Times New Roman"/>
          <w:color w:val="333333"/>
          <w:szCs w:val="32"/>
          <w:lang w:eastAsia="zh-CN"/>
        </w:rPr>
        <w:t>由泰州校区管理办公室、翰林学院领导带队采取“四不两直”方式开展全方位、无死角、拉网式自查自纠工作。对存在风险隐患的要立即整改，整改不到位的采取相应安全措施。各检查小组组长要切实把安全工作放在心上、扛在肩上、落实到行动上，确保师生生命安全和校园平安有序。</w:t>
      </w:r>
    </w:p>
    <w:p>
      <w:pPr>
        <w:ind w:firstLine="640"/>
        <w:rPr>
          <w:rFonts w:ascii="黑体" w:hAnsi="黑体" w:eastAsia="黑体" w:cs="黑体"/>
          <w:color w:val="333333"/>
          <w:szCs w:val="32"/>
        </w:rPr>
      </w:pPr>
      <w:r>
        <w:rPr>
          <w:rFonts w:hint="eastAsia" w:ascii="黑体" w:hAnsi="黑体" w:eastAsia="黑体" w:cs="黑体"/>
          <w:color w:val="333333"/>
          <w:szCs w:val="32"/>
          <w:lang w:eastAsia="zh-CN"/>
        </w:rPr>
        <w:t>三</w:t>
      </w:r>
      <w:r>
        <w:rPr>
          <w:rFonts w:hint="eastAsia" w:ascii="黑体" w:hAnsi="黑体" w:eastAsia="黑体" w:cs="黑体"/>
          <w:color w:val="333333"/>
          <w:szCs w:val="32"/>
        </w:rPr>
        <w:t>、检查要求</w:t>
      </w:r>
    </w:p>
    <w:p>
      <w:pPr>
        <w:spacing w:line="580" w:lineRule="exact"/>
        <w:ind w:firstLine="640"/>
        <w:rPr>
          <w:rFonts w:ascii="Times New Roman" w:hAnsi="Times New Roman"/>
          <w:color w:val="333333"/>
          <w:szCs w:val="32"/>
        </w:rPr>
      </w:pPr>
      <w:r>
        <w:rPr>
          <w:rFonts w:hint="eastAsia" w:ascii="Times New Roman" w:hAnsi="Times New Roman"/>
          <w:color w:val="333333"/>
          <w:szCs w:val="32"/>
        </w:rPr>
        <w:t>（一）提高认识。各部门、各单位要充分认清形势，高度重视，加强领导，落实责任，增强党政同责、一岗双责、齐抓共管、失职追责的力度，层层落实安全责任。检查务必全面彻底不走过场、不流</w:t>
      </w:r>
      <w:r>
        <w:rPr>
          <w:rFonts w:hint="eastAsia" w:ascii="Times New Roman" w:hAnsi="Times New Roman"/>
          <w:color w:val="333333"/>
          <w:szCs w:val="32"/>
          <w:lang w:eastAsia="zh-CN"/>
        </w:rPr>
        <w:t>于</w:t>
      </w:r>
      <w:r>
        <w:rPr>
          <w:rFonts w:hint="eastAsia" w:ascii="Times New Roman" w:hAnsi="Times New Roman"/>
          <w:color w:val="333333"/>
          <w:szCs w:val="32"/>
        </w:rPr>
        <w:t>形式、不留死角。</w:t>
      </w:r>
    </w:p>
    <w:p>
      <w:pPr>
        <w:spacing w:line="580" w:lineRule="exact"/>
        <w:ind w:firstLine="640"/>
        <w:rPr>
          <w:rFonts w:ascii="Times New Roman" w:hAnsi="Times New Roman"/>
          <w:color w:val="333333"/>
          <w:szCs w:val="32"/>
        </w:rPr>
      </w:pPr>
      <w:r>
        <w:rPr>
          <w:rFonts w:hint="eastAsia" w:ascii="Times New Roman" w:hAnsi="Times New Roman"/>
          <w:color w:val="333333"/>
          <w:szCs w:val="32"/>
        </w:rPr>
        <w:t>（二）确保实效。各单位针对排查出的问题，建立台账、明确责任、细化措施，立即整改，及时消除安全隐患。对于未能及时整改的隐患落实必要的防范措施，确保安全。</w:t>
      </w:r>
    </w:p>
    <w:p>
      <w:pPr>
        <w:spacing w:line="580" w:lineRule="exact"/>
        <w:ind w:firstLine="640"/>
        <w:rPr>
          <w:rFonts w:ascii="Times New Roman" w:hAnsi="Times New Roman"/>
          <w:color w:val="333333"/>
          <w:szCs w:val="32"/>
        </w:rPr>
      </w:pPr>
      <w:r>
        <w:rPr>
          <w:rFonts w:hint="eastAsia" w:ascii="Times New Roman" w:hAnsi="Times New Roman"/>
          <w:color w:val="333333"/>
          <w:szCs w:val="32"/>
        </w:rPr>
        <w:t>（三）各部门、各单位要坚持常态长效，严格落实“发现—上报—整改—落实—回头看”闭环工作机制，定期开展分析研判，全面整治各领域风险隐患，守牢校园安全底线，确保</w:t>
      </w:r>
      <w:r>
        <w:rPr>
          <w:rFonts w:hint="eastAsia" w:ascii="Times New Roman" w:hAnsi="Times New Roman"/>
          <w:color w:val="333333"/>
          <w:szCs w:val="32"/>
          <w:lang w:eastAsia="zh-CN"/>
        </w:rPr>
        <w:t>校园安全稳定</w:t>
      </w:r>
      <w:r>
        <w:rPr>
          <w:rFonts w:hint="eastAsia" w:ascii="Times New Roman" w:hAnsi="Times New Roman"/>
          <w:color w:val="333333"/>
          <w:szCs w:val="32"/>
        </w:rPr>
        <w:t>。</w:t>
      </w:r>
    </w:p>
    <w:p>
      <w:pPr>
        <w:ind w:left="1920" w:leftChars="600" w:firstLine="0" w:firstLineChars="0"/>
        <w:jc w:val="right"/>
        <w:rPr>
          <w:rFonts w:ascii="Times New Roman" w:hAnsi="Times New Roman"/>
          <w:color w:val="333333"/>
          <w:szCs w:val="32"/>
        </w:rPr>
      </w:pPr>
    </w:p>
    <w:p>
      <w:pPr>
        <w:ind w:left="1920" w:leftChars="600" w:firstLine="0" w:firstLineChars="0"/>
        <w:jc w:val="right"/>
        <w:rPr>
          <w:rFonts w:ascii="Times New Roman" w:hAnsi="Times New Roman"/>
          <w:color w:val="333333"/>
          <w:szCs w:val="32"/>
        </w:rPr>
      </w:pPr>
    </w:p>
    <w:p>
      <w:pPr>
        <w:ind w:left="1920" w:leftChars="600" w:firstLine="0" w:firstLineChars="0"/>
        <w:jc w:val="right"/>
        <w:rPr>
          <w:rFonts w:ascii="Times New Roman" w:hAnsi="Times New Roman"/>
          <w:color w:val="333333"/>
          <w:szCs w:val="32"/>
        </w:rPr>
      </w:pPr>
    </w:p>
    <w:p>
      <w:pPr>
        <w:ind w:left="1920" w:leftChars="600" w:firstLine="0" w:firstLineChars="0"/>
        <w:jc w:val="right"/>
        <w:rPr>
          <w:rFonts w:ascii="Times New Roman" w:hAnsi="Times New Roman"/>
          <w:color w:val="333333"/>
          <w:szCs w:val="32"/>
        </w:rPr>
      </w:pPr>
      <w:r>
        <w:rPr>
          <w:rFonts w:ascii="Times New Roman" w:hAnsi="Times New Roman"/>
          <w:color w:val="333333"/>
          <w:szCs w:val="32"/>
        </w:rPr>
        <w:t>南京中医药大学</w:t>
      </w:r>
      <w:r>
        <w:rPr>
          <w:rFonts w:hint="eastAsia" w:ascii="Times New Roman" w:hAnsi="Times New Roman"/>
          <w:color w:val="333333"/>
          <w:szCs w:val="32"/>
        </w:rPr>
        <w:t>泰州校区安全委员会办公室</w:t>
      </w:r>
      <w:r>
        <w:rPr>
          <w:rFonts w:ascii="Times New Roman" w:hAnsi="Times New Roman"/>
          <w:color w:val="333333"/>
          <w:szCs w:val="32"/>
        </w:rPr>
        <w:t>南京中医药大学翰林学院</w:t>
      </w:r>
      <w:r>
        <w:rPr>
          <w:rFonts w:hint="eastAsia" w:ascii="Times New Roman" w:hAnsi="Times New Roman"/>
          <w:color w:val="333333"/>
          <w:szCs w:val="32"/>
        </w:rPr>
        <w:t>安全委员会办公室</w:t>
      </w:r>
    </w:p>
    <w:p>
      <w:pPr>
        <w:tabs>
          <w:tab w:val="left" w:pos="4551"/>
        </w:tabs>
        <w:ind w:firstLine="5120" w:firstLineChars="1600"/>
        <w:rPr>
          <w:rFonts w:ascii="Times New Roman" w:hAnsi="Times New Roman"/>
          <w:color w:val="333333"/>
          <w:szCs w:val="32"/>
        </w:rPr>
      </w:pPr>
      <w:r>
        <w:rPr>
          <w:rFonts w:ascii="Times New Roman" w:hAnsi="Times New Roman"/>
          <w:color w:val="333333"/>
          <w:szCs w:val="32"/>
        </w:rPr>
        <w:t>202</w:t>
      </w:r>
      <w:r>
        <w:rPr>
          <w:rFonts w:hint="eastAsia" w:ascii="Times New Roman" w:hAnsi="Times New Roman"/>
          <w:color w:val="333333"/>
          <w:szCs w:val="32"/>
          <w:lang w:val="en-US" w:eastAsia="zh-CN"/>
        </w:rPr>
        <w:t>6</w:t>
      </w:r>
      <w:r>
        <w:rPr>
          <w:rFonts w:ascii="Times New Roman" w:hAnsi="Times New Roman"/>
          <w:color w:val="333333"/>
          <w:szCs w:val="32"/>
        </w:rPr>
        <w:t>年</w:t>
      </w:r>
      <w:r>
        <w:rPr>
          <w:rFonts w:hint="eastAsia" w:ascii="Times New Roman" w:hAnsi="Times New Roman"/>
          <w:color w:val="333333"/>
          <w:szCs w:val="32"/>
          <w:lang w:val="en-US" w:eastAsia="zh-CN"/>
        </w:rPr>
        <w:t>8</w:t>
      </w:r>
      <w:r>
        <w:rPr>
          <w:rFonts w:ascii="Times New Roman" w:hAnsi="Times New Roman"/>
          <w:color w:val="333333"/>
          <w:szCs w:val="32"/>
        </w:rPr>
        <w:t>月</w:t>
      </w:r>
      <w:r>
        <w:rPr>
          <w:rFonts w:hint="eastAsia" w:ascii="Times New Roman" w:hAnsi="Times New Roman"/>
          <w:color w:val="333333"/>
          <w:szCs w:val="32"/>
          <w:lang w:val="en-US" w:eastAsia="zh-CN"/>
        </w:rPr>
        <w:t>24</w:t>
      </w:r>
      <w:r>
        <w:rPr>
          <w:rFonts w:ascii="Times New Roman" w:hAnsi="Times New Roman"/>
          <w:color w:val="333333"/>
          <w:szCs w:val="32"/>
        </w:rPr>
        <w:t>日</w:t>
      </w:r>
    </w:p>
    <w:p>
      <w:pPr>
        <w:ind w:firstLine="0" w:firstLineChars="0"/>
        <w:rPr>
          <w:rFonts w:ascii="黑体" w:hAnsi="黑体" w:eastAsia="黑体" w:cs="黑体"/>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pPr>
        <w:pStyle w:val="3"/>
        <w:spacing w:before="0" w:after="156" w:afterLines="50" w:line="240" w:lineRule="auto"/>
        <w:ind w:firstLine="0" w:firstLineChars="0"/>
        <w:jc w:val="left"/>
        <w:rPr>
          <w:rFonts w:ascii="黑体" w:hAnsi="黑体" w:cs="黑体"/>
          <w:b w:val="0"/>
          <w:bCs/>
          <w:sz w:val="32"/>
          <w:szCs w:val="32"/>
        </w:rPr>
      </w:pPr>
      <w:r>
        <w:rPr>
          <w:rFonts w:hint="eastAsia" w:ascii="黑体" w:hAnsi="黑体" w:cs="黑体"/>
          <w:b w:val="0"/>
          <w:bCs/>
          <w:sz w:val="32"/>
          <w:szCs w:val="32"/>
        </w:rPr>
        <w:t>附件1</w:t>
      </w:r>
    </w:p>
    <w:p>
      <w:pPr>
        <w:pStyle w:val="3"/>
        <w:spacing w:before="156" w:beforeLines="50" w:after="156" w:afterLines="50" w:line="240" w:lineRule="auto"/>
        <w:ind w:firstLine="880"/>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校园安全大检查重点范围清单</w:t>
      </w:r>
    </w:p>
    <w:tbl>
      <w:tblPr>
        <w:tblStyle w:val="10"/>
        <w:tblW w:w="4938" w:type="pct"/>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62"/>
        <w:gridCol w:w="2344"/>
        <w:gridCol w:w="8781"/>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b/>
                <w:bCs/>
                <w:sz w:val="24"/>
                <w:szCs w:val="24"/>
              </w:rPr>
              <w:t>序号</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b/>
                <w:bCs/>
                <w:sz w:val="24"/>
                <w:szCs w:val="24"/>
              </w:rPr>
              <w:t>检查内容</w:t>
            </w:r>
          </w:p>
        </w:tc>
        <w:tc>
          <w:tcPr>
            <w:tcW w:w="8783" w:type="dxa"/>
            <w:vAlign w:val="center"/>
          </w:tcPr>
          <w:p>
            <w:pPr>
              <w:pStyle w:val="17"/>
              <w:ind w:firstLine="482"/>
              <w:jc w:val="center"/>
              <w:rPr>
                <w:rFonts w:ascii="仿宋_GB2312" w:hAnsi="宋体" w:eastAsia="仿宋_GB2312" w:cs="宋体"/>
                <w:sz w:val="24"/>
                <w:szCs w:val="24"/>
              </w:rPr>
            </w:pPr>
            <w:r>
              <w:rPr>
                <w:rFonts w:hint="eastAsia" w:ascii="仿宋_GB2312" w:hAnsi="仿宋" w:eastAsia="仿宋_GB2312" w:cs="宋体"/>
                <w:b/>
                <w:bCs/>
                <w:sz w:val="24"/>
                <w:szCs w:val="24"/>
              </w:rPr>
              <w:t>检查重点</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b/>
                <w:bCs/>
                <w:sz w:val="24"/>
                <w:szCs w:val="24"/>
              </w:rPr>
              <w:t>牵头责任部门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天然气管线安全检查</w:t>
            </w:r>
          </w:p>
        </w:tc>
        <w:tc>
          <w:tcPr>
            <w:tcW w:w="8783" w:type="dxa"/>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1.是否制定燃气使用安全管理制度；</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2.是否定期对食堂工作人员进行消防安全培训和应急演练，提高安全意识；</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3.是否定期开展燃气使用场所安全自查，发现隐患是否及时上报并整改；</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4.室外管线有无破损现象；调压站、各类开闭阀是否正常；</w:t>
            </w:r>
            <w:r>
              <w:rPr>
                <w:rFonts w:ascii="仿宋_GB2312" w:hAnsi="宋体" w:eastAsia="仿宋_GB2312" w:cs="宋体"/>
                <w:sz w:val="24"/>
                <w:szCs w:val="24"/>
              </w:rPr>
              <w:t xml:space="preserve"> </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5.场所内敷设管线是正常、合理；是否定期检查、更换燃气软管，保持其完好无损；</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6.场所内是否安装可燃气体报警器且安装位置设置是否合理；燃气报警装置是否正常工作；</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7.是否配备必要的灭火器材并摆放在固定醒目的位置且设有标识，方便拿取。</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2</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消防设施安全检查</w:t>
            </w:r>
          </w:p>
        </w:tc>
        <w:tc>
          <w:tcPr>
            <w:tcW w:w="8783" w:type="dxa"/>
          </w:tcPr>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1.是否制定校园消防安全管理规定，是否落实校园消防安全各级安全责任；</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2.灭火器等消防设施是否按规定整齐摆放；是否在有效日期内，有无过期现象；</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3.消防器材是否定期保养，有破损的是否及时更换修补；</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4.现场消防栓、消防井、水源是否充足畅通，消防枪、水龙带有无破损；</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5.高层消防泵、消防竖管及每层设置的水龙带、枪、箱是否完好确保有效利用；</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6.公共部位及重点场所、重点部位消防点检是否落实到位；</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7.各楼宇及周边消防通道是否畅通；</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8.公共场所及办公场所是否存在违规使用大功率电器现象。</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3</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变配电设施安全检查</w:t>
            </w:r>
          </w:p>
        </w:tc>
        <w:tc>
          <w:tcPr>
            <w:tcW w:w="8783" w:type="dxa"/>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1.是否制定用电安全制度并严格执行；</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2.是否制定电气设备操作规程；</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3.是否制定电气火灾应急处置预案，并进行演练；</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4.电器线路、电气设备选用的产品是否具有生产许可或“3C”认证；</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5.持有上岗证的电工在安装、检查和维修电气线路和用电设备时是否严格执行国家相关电气安装规范；</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6.配电柜设置的短路、过负荷、漏电等保护装置是否完好；</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7.配电箱内各接线端子导线压接是否规范、牢固。导线端部有无变色、老化现象，金属裸露部分保护措施是否完好有效，箱内有无杂物；</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8.电线线路是否采用铜芯绝缘线套金属管敷设，是否存在将电线直接敷设在可燃构件上现象；</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9.电热器具（设备）及大功率电器是否与可燃物品保持安全距离，有无被可燃物覆盖；</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10.电气设备维保检修是否采取安全措施；</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11.有无违规使用大功率电器设备、擅自拉接临时电线现象；</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12.是否定期维护保养、检测电气线路和电器产品，并记录存档；</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13.是否安装电气火灾监控系统。</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14.是否安装剩余电流保护装置；剩余电流保护装置投入运行后，是否定期试验；</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15.是否设置防小动物措施。</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16.各变电所内是否</w:t>
            </w:r>
            <w:r>
              <w:rPr>
                <w:rFonts w:hint="eastAsia" w:ascii="仿宋_GB2312" w:hAnsi="仿宋" w:eastAsia="仿宋_GB2312" w:cs="宋体"/>
                <w:sz w:val="24"/>
                <w:szCs w:val="24"/>
                <w:lang w:eastAsia="zh-CN"/>
              </w:rPr>
              <w:t>建立</w:t>
            </w:r>
            <w:r>
              <w:rPr>
                <w:rFonts w:hint="eastAsia" w:ascii="仿宋_GB2312" w:hAnsi="仿宋" w:eastAsia="仿宋_GB2312" w:cs="宋体"/>
                <w:sz w:val="24"/>
                <w:szCs w:val="24"/>
              </w:rPr>
              <w:t>日常巡检台账，电气操作防护设备是否齐全，是否配备沙箱等灭火器材。</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4</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中心机房</w:t>
            </w:r>
          </w:p>
        </w:tc>
        <w:tc>
          <w:tcPr>
            <w:tcW w:w="8783" w:type="dxa"/>
          </w:tcPr>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1.中心机房日常巡检情况，是否做好技防防火管理，灭火装置是否正常；</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2.弱电间日常管理情况，包括门锁、安全标识、灭火器材配置等。</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党委办公室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5</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电梯类特种设备安全检查</w:t>
            </w:r>
          </w:p>
        </w:tc>
        <w:tc>
          <w:tcPr>
            <w:tcW w:w="8783" w:type="dxa"/>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1.使用的电梯等特种设备是否取得合格证；</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2.是否履行安装、维修、改造告知和定期报检责任；</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3.操作人员是否持证上岗；</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4.是否执行日常检查维护保养制度；</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5.操作人员是否严格按照安全技术规范作业；</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6.使用的电梯是否落实年检制度；</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7.维保单位是否落实，响应是否及时。</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6</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实验室安全检查（含科研实训室）</w:t>
            </w:r>
          </w:p>
        </w:tc>
        <w:tc>
          <w:tcPr>
            <w:tcW w:w="8783" w:type="dxa"/>
            <w:vAlign w:val="center"/>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1.是否制定实验实训室安全管理制度、危险化学品安全管理制度、各二级学院实验室安全操作规程等；</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2.操作者是否熟知本岗位安全操作规程，并按规程要求操作；</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3.是否安排专人定期开展安全检查及隐患排查，发现隐患及时上报并整改；</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4.是否对相关人员定期进行安全培训、考核，作业人员经培训考核合格后上岗；</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5.是否配备应急救援物资，如消防设备、喷淋洗眼装置等，确保工作人员熟悉应急救援设备的使用方法，定期组织应急演练；</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6.是否为作业人员配备劳动防护用品，并要求作业时正确穿戴；</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7.机床转动部位的连接销、刀排的突出高度是否符合标准；</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宋体" w:eastAsia="仿宋_GB2312" w:cs="宋体"/>
                <w:sz w:val="24"/>
                <w:szCs w:val="24"/>
              </w:rPr>
              <w:t>8.发生异常时，是否及时向相关领导报告，并停止作业；</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宋体" w:eastAsia="仿宋_GB2312" w:cs="宋体"/>
                <w:sz w:val="24"/>
                <w:szCs w:val="24"/>
              </w:rPr>
              <w:t>9.</w:t>
            </w:r>
            <w:r>
              <w:rPr>
                <w:rFonts w:hint="eastAsia" w:ascii="仿宋_GB2312" w:hAnsi="仿宋" w:eastAsia="仿宋_GB2312" w:cs="宋体"/>
                <w:sz w:val="24"/>
                <w:szCs w:val="24"/>
              </w:rPr>
              <w:t>实验实训用特种设备是否</w:t>
            </w:r>
            <w:r>
              <w:rPr>
                <w:rFonts w:hint="eastAsia" w:ascii="仿宋_GB2312" w:hAnsi="仿宋" w:eastAsia="仿宋_GB2312" w:cs="宋体"/>
                <w:sz w:val="24"/>
                <w:szCs w:val="24"/>
                <w:lang w:eastAsia="zh-CN"/>
              </w:rPr>
              <w:t>建立</w:t>
            </w:r>
            <w:r>
              <w:rPr>
                <w:rFonts w:hint="eastAsia" w:ascii="仿宋_GB2312" w:hAnsi="仿宋" w:eastAsia="仿宋_GB2312" w:cs="宋体"/>
                <w:sz w:val="24"/>
                <w:szCs w:val="24"/>
              </w:rPr>
              <w:t>日常巡视记录和定期维保换证台账等。</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实验室管理处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7</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校园交通安全检查</w:t>
            </w:r>
          </w:p>
        </w:tc>
        <w:tc>
          <w:tcPr>
            <w:tcW w:w="8783" w:type="dxa"/>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1.是否制定完备的校园交通安全管理规定；</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2.机动车停放是否规范，有无违规停放和超速现象；</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3.</w:t>
            </w:r>
            <w:r>
              <w:rPr>
                <w:rFonts w:hint="eastAsia" w:ascii="仿宋_GB2312" w:hAnsi="仿宋" w:eastAsia="仿宋_GB2312" w:cs="宋体"/>
                <w:sz w:val="24"/>
                <w:szCs w:val="24"/>
                <w:lang w:eastAsia="zh-CN"/>
              </w:rPr>
              <w:t>是否落实无</w:t>
            </w:r>
            <w:r>
              <w:rPr>
                <w:rFonts w:hint="eastAsia" w:ascii="仿宋_GB2312" w:hAnsi="仿宋" w:eastAsia="仿宋_GB2312" w:cs="宋体"/>
                <w:sz w:val="24"/>
                <w:szCs w:val="24"/>
              </w:rPr>
              <w:t>通行证电动车进校管理情况；</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4.是否</w:t>
            </w:r>
            <w:r>
              <w:rPr>
                <w:rFonts w:hint="eastAsia" w:ascii="仿宋_GB2312" w:hAnsi="仿宋" w:eastAsia="仿宋_GB2312" w:cs="宋体"/>
                <w:sz w:val="24"/>
                <w:szCs w:val="24"/>
                <w:lang w:eastAsia="zh-CN"/>
              </w:rPr>
              <w:t>存在</w:t>
            </w:r>
            <w:r>
              <w:rPr>
                <w:rFonts w:hint="eastAsia" w:ascii="仿宋_GB2312" w:hAnsi="仿宋" w:eastAsia="仿宋_GB2312" w:cs="宋体"/>
                <w:sz w:val="24"/>
                <w:szCs w:val="24"/>
              </w:rPr>
              <w:t>电动车违规充电情况；</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5.是否设置校园交通指示标识标线标牌。</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8</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校园治安管理检查</w:t>
            </w:r>
          </w:p>
        </w:tc>
        <w:tc>
          <w:tcPr>
            <w:tcW w:w="8783" w:type="dxa"/>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1.校园安保管理制度是否完备；</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2.门岗防控履职是否负责到位；</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3.校内防暴器械配置是否完备；</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4.校园保安日志、巡逻开展与巡逻台账是否完善；</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5.各类值班记录台账是否充分；</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6.技防设施完善维护和使用情况与台账。</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7.校园综合治理联动机制是否建立。</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9</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学生宿舍管理检查</w:t>
            </w:r>
          </w:p>
        </w:tc>
        <w:tc>
          <w:tcPr>
            <w:tcW w:w="8783" w:type="dxa"/>
            <w:vAlign w:val="center"/>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1.宿舍安全提醒是否到位；</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2.宿舍内是否存放和使用电炉、电饭锅、电热壶、电热毯、电热杯、电磁炉、电炒锅、微波炉等大功率电器。</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3.是否私自更换宿舍内电路设备上的装置，私自接线、安装开关，移动和人为破坏应急灯、消防栓等公共安全设施。学生离开宿舍时是否关闭电源、充电器等一切用电设备。</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4.班主任、辅导员是否不定期对学生宿舍进行检查，发现存有大功率电器，是否当场没收，并按相关规定予以相应纪律处理；</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5.学生在宿舍使用电脑、插线板、充电器等设备时是否符合国家安全质量标准；</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6.宿舍卫生、门禁、台账情况，宿舍留宿情况及台账；</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7.宿舍内有无管制物品使用；</w:t>
            </w:r>
          </w:p>
        </w:tc>
        <w:tc>
          <w:tcPr>
            <w:tcW w:w="2128" w:type="dxa"/>
            <w:vAlign w:val="center"/>
          </w:tcPr>
          <w:p>
            <w:pPr>
              <w:pStyle w:val="17"/>
              <w:ind w:firstLine="0" w:firstLineChars="0"/>
              <w:jc w:val="center"/>
              <w:rPr>
                <w:rFonts w:hint="eastAsia" w:ascii="仿宋_GB2312" w:hAnsi="仿宋" w:eastAsia="仿宋_GB2312" w:cs="宋体"/>
                <w:sz w:val="24"/>
                <w:szCs w:val="24"/>
                <w:lang w:eastAsia="zh-CN"/>
              </w:rPr>
            </w:pPr>
            <w:r>
              <w:rPr>
                <w:rFonts w:hint="eastAsia" w:ascii="仿宋_GB2312" w:hAnsi="仿宋" w:eastAsia="仿宋_GB2312" w:cs="宋体"/>
                <w:sz w:val="24"/>
                <w:szCs w:val="24"/>
                <w:lang w:eastAsia="zh-CN"/>
              </w:rPr>
              <w:t>学生事务部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0"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10</w:t>
            </w:r>
          </w:p>
        </w:tc>
        <w:tc>
          <w:tcPr>
            <w:tcW w:w="2344"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校舍安全与安全文明施工检查</w:t>
            </w:r>
          </w:p>
        </w:tc>
        <w:tc>
          <w:tcPr>
            <w:tcW w:w="8783" w:type="dxa"/>
            <w:vAlign w:val="center"/>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1.建筑物沉降、抗震检查是否定期开展；</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2.楼宇窗扇、栏杆等安全防护设施是否正常；</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3.公共设施、运动设施是否牢固；</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4.工程施工改造是否都签订施工安全协议，是否开展安全交底；</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5.基建工程安全管理制度是否建立，安监监督是否到位；</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6.维修改造工程安全管理是否到位、安全标识、安全围挡是否齐全；</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11</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学生创新创业及社团用房安全专项检查</w:t>
            </w:r>
          </w:p>
        </w:tc>
        <w:tc>
          <w:tcPr>
            <w:tcW w:w="8783" w:type="dxa"/>
            <w:vAlign w:val="center"/>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1.学生创新创业及社团用房安全管理制度是否建立；</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2.学生用房的防火、防盗措施是否到位；</w:t>
            </w:r>
          </w:p>
        </w:tc>
        <w:tc>
          <w:tcPr>
            <w:tcW w:w="2128"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lang w:eastAsia="zh-CN"/>
              </w:rPr>
              <w:t>学生事务部</w:t>
            </w:r>
            <w:r>
              <w:rPr>
                <w:rFonts w:hint="eastAsia" w:ascii="仿宋_GB2312" w:hAnsi="仿宋" w:eastAsia="仿宋_GB2312" w:cs="宋体"/>
                <w:sz w:val="24"/>
                <w:szCs w:val="24"/>
              </w:rPr>
              <w:t>、翰林学院团委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12</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食品卫生安全检查（含商业网点）</w:t>
            </w:r>
          </w:p>
        </w:tc>
        <w:tc>
          <w:tcPr>
            <w:tcW w:w="8783" w:type="dxa"/>
            <w:vAlign w:val="center"/>
          </w:tcPr>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1.是否制定完善的食品卫生安全管理制度；</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2.食品安全监管措施情况，如食堂原材料采购把关状况，成品留样情况等；</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3.是否与各食堂承包商、商铺承租商建立安全责任协议；</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4.各商铺超范围经营状况、防盗状况、安全用电、用水状况；</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5.其他各类登记</w:t>
            </w:r>
            <w:r>
              <w:rPr>
                <w:rFonts w:hint="eastAsia" w:ascii="仿宋_GB2312" w:hAnsi="仿宋" w:eastAsia="仿宋_GB2312" w:cs="宋体"/>
                <w:sz w:val="24"/>
                <w:szCs w:val="24"/>
                <w:lang w:eastAsia="zh-CN"/>
              </w:rPr>
              <w:t>台账</w:t>
            </w:r>
            <w:r>
              <w:rPr>
                <w:rFonts w:hint="eastAsia" w:ascii="仿宋_GB2312" w:hAnsi="仿宋" w:eastAsia="仿宋_GB2312" w:cs="宋体"/>
                <w:sz w:val="24"/>
                <w:szCs w:val="24"/>
              </w:rPr>
              <w:t>；</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宋体" w:eastAsia="仿宋_GB2312" w:cs="宋体"/>
                <w:sz w:val="24"/>
                <w:szCs w:val="24"/>
              </w:rPr>
            </w:pPr>
            <w:r>
              <w:rPr>
                <w:rFonts w:hint="eastAsia" w:ascii="仿宋_GB2312" w:hAnsi="宋体" w:eastAsia="仿宋_GB2312" w:cs="宋体"/>
                <w:sz w:val="24"/>
                <w:szCs w:val="24"/>
              </w:rPr>
              <w:t>13</w:t>
            </w:r>
          </w:p>
        </w:tc>
        <w:tc>
          <w:tcPr>
            <w:tcW w:w="2342"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学生实习实训安全管理检查(含校外实习)</w:t>
            </w:r>
          </w:p>
        </w:tc>
        <w:tc>
          <w:tcPr>
            <w:tcW w:w="8783" w:type="dxa"/>
            <w:vAlign w:val="center"/>
          </w:tcPr>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1.学校实习是否制定了安全管理制度；</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2.实习单位安全生产管理情况；</w:t>
            </w:r>
          </w:p>
          <w:p>
            <w:pPr>
              <w:pStyle w:val="17"/>
              <w:spacing w:line="240" w:lineRule="auto"/>
              <w:ind w:firstLine="0" w:firstLineChars="0"/>
              <w:jc w:val="left"/>
              <w:rPr>
                <w:rFonts w:ascii="仿宋_GB2312" w:hAnsi="宋体" w:eastAsia="仿宋_GB2312" w:cs="宋体"/>
                <w:sz w:val="24"/>
                <w:szCs w:val="24"/>
              </w:rPr>
            </w:pPr>
            <w:r>
              <w:rPr>
                <w:rFonts w:hint="eastAsia" w:ascii="仿宋_GB2312" w:hAnsi="仿宋" w:eastAsia="仿宋_GB2312" w:cs="宋体"/>
                <w:sz w:val="24"/>
                <w:szCs w:val="24"/>
              </w:rPr>
              <w:t>3.实习安全教育开展情况；</w:t>
            </w:r>
          </w:p>
        </w:tc>
        <w:tc>
          <w:tcPr>
            <w:tcW w:w="2128" w:type="dxa"/>
            <w:vAlign w:val="center"/>
          </w:tcPr>
          <w:p>
            <w:pPr>
              <w:pStyle w:val="17"/>
              <w:ind w:firstLine="0" w:firstLineChars="0"/>
              <w:jc w:val="center"/>
              <w:rPr>
                <w:rFonts w:ascii="仿宋_GB2312" w:hAnsi="宋体" w:eastAsia="仿宋_GB2312" w:cs="宋体"/>
                <w:sz w:val="24"/>
                <w:szCs w:val="24"/>
              </w:rPr>
            </w:pPr>
            <w:r>
              <w:rPr>
                <w:rFonts w:hint="eastAsia" w:ascii="仿宋_GB2312" w:hAnsi="仿宋" w:eastAsia="仿宋_GB2312" w:cs="宋体"/>
                <w:sz w:val="24"/>
                <w:szCs w:val="24"/>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14</w:t>
            </w:r>
          </w:p>
        </w:tc>
        <w:tc>
          <w:tcPr>
            <w:tcW w:w="2342"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网络与信息安全检查</w:t>
            </w:r>
          </w:p>
        </w:tc>
        <w:tc>
          <w:tcPr>
            <w:tcW w:w="8783" w:type="dxa"/>
            <w:vAlign w:val="center"/>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1.网络安全与信息安全管理制度是否完备；</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2.是否合理配置防火墙、杀毒软件；</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3.系统是否配置专人负责管理，杜绝弱口令，周期性修改密码；</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4.系统是否安装正版操作系统，及时对系统升级、定期扫描漏洞，并及时安装补丁；</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5.网络安全事件是否能及时有效处理、反馈，是否建立应急处置机制。</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6.重要系统、重要数据是否备份，备份方式是否科学；</w:t>
            </w:r>
          </w:p>
        </w:tc>
        <w:tc>
          <w:tcPr>
            <w:tcW w:w="2128"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党委办公室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15</w:t>
            </w:r>
          </w:p>
        </w:tc>
        <w:tc>
          <w:tcPr>
            <w:tcW w:w="2342"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学生组织与社团管理</w:t>
            </w:r>
          </w:p>
        </w:tc>
        <w:tc>
          <w:tcPr>
            <w:tcW w:w="8783" w:type="dxa"/>
            <w:vAlign w:val="center"/>
          </w:tcPr>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1.学生社团组织管理及学生社团活动管理制度规章是否齐全；</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2.学生干部行为规范管理是否到位；</w:t>
            </w:r>
          </w:p>
          <w:p>
            <w:pPr>
              <w:pStyle w:val="17"/>
              <w:spacing w:line="240" w:lineRule="auto"/>
              <w:ind w:firstLine="0" w:firstLineChars="0"/>
              <w:jc w:val="left"/>
              <w:rPr>
                <w:rFonts w:ascii="仿宋_GB2312" w:hAnsi="仿宋" w:eastAsia="仿宋_GB2312" w:cs="宋体"/>
                <w:sz w:val="24"/>
                <w:szCs w:val="24"/>
              </w:rPr>
            </w:pPr>
            <w:r>
              <w:rPr>
                <w:rFonts w:hint="eastAsia" w:ascii="仿宋_GB2312" w:hAnsi="仿宋" w:eastAsia="仿宋_GB2312" w:cs="宋体"/>
                <w:sz w:val="24"/>
                <w:szCs w:val="24"/>
              </w:rPr>
              <w:t>3.网络空间生活监管是否到位，网络舆论引导是否有效；</w:t>
            </w:r>
          </w:p>
        </w:tc>
        <w:tc>
          <w:tcPr>
            <w:tcW w:w="2128" w:type="dxa"/>
            <w:vAlign w:val="center"/>
          </w:tcPr>
          <w:p>
            <w:pPr>
              <w:pStyle w:val="17"/>
              <w:ind w:firstLine="0" w:firstLineChars="0"/>
              <w:jc w:val="center"/>
              <w:rPr>
                <w:rFonts w:ascii="仿宋_GB2312" w:hAnsi="仿宋" w:eastAsia="仿宋_GB2312" w:cs="宋体"/>
                <w:sz w:val="24"/>
                <w:szCs w:val="24"/>
              </w:rPr>
            </w:pPr>
            <w:r>
              <w:rPr>
                <w:rFonts w:hint="eastAsia" w:ascii="仿宋_GB2312" w:hAnsi="仿宋" w:eastAsia="仿宋_GB2312" w:cs="宋体"/>
                <w:sz w:val="24"/>
                <w:szCs w:val="24"/>
              </w:rPr>
              <w:t>党委宣传部、</w:t>
            </w:r>
            <w:r>
              <w:rPr>
                <w:rFonts w:hint="eastAsia" w:ascii="仿宋_GB2312" w:hAnsi="仿宋" w:eastAsia="仿宋_GB2312" w:cs="宋体"/>
                <w:sz w:val="24"/>
                <w:szCs w:val="24"/>
                <w:lang w:eastAsia="zh-CN"/>
              </w:rPr>
              <w:t>学生事务部</w:t>
            </w:r>
            <w:r>
              <w:rPr>
                <w:rFonts w:hint="eastAsia" w:ascii="仿宋_GB2312" w:hAnsi="仿宋" w:eastAsia="仿宋_GB2312" w:cs="宋体"/>
                <w:sz w:val="24"/>
                <w:szCs w:val="24"/>
              </w:rPr>
              <w:t>、翰林学院团委</w:t>
            </w:r>
          </w:p>
        </w:tc>
      </w:tr>
    </w:tbl>
    <w:p>
      <w:pPr>
        <w:ind w:firstLine="0" w:firstLineChars="0"/>
        <w:rPr>
          <w:rFonts w:ascii="黑体" w:hAnsi="黑体" w:eastAsia="黑体" w:cs="黑体"/>
          <w:szCs w:val="32"/>
        </w:rPr>
      </w:pPr>
    </w:p>
    <w:p>
      <w:pPr>
        <w:ind w:firstLine="0" w:firstLineChars="0"/>
        <w:rPr>
          <w:rFonts w:ascii="黑体" w:hAnsi="黑体" w:eastAsia="黑体" w:cs="黑体"/>
          <w:szCs w:val="32"/>
        </w:rPr>
      </w:pPr>
    </w:p>
    <w:p>
      <w:pPr>
        <w:ind w:firstLine="0" w:firstLineChars="0"/>
        <w:rPr>
          <w:rFonts w:ascii="黑体" w:hAnsi="黑体" w:eastAsia="黑体" w:cs="黑体"/>
          <w:szCs w:val="32"/>
        </w:rPr>
        <w:sectPr>
          <w:pgSz w:w="16838" w:h="11906" w:orient="landscape"/>
          <w:pgMar w:top="1800" w:right="1440" w:bottom="1800" w:left="1440" w:header="851" w:footer="992" w:gutter="0"/>
          <w:cols w:space="720" w:num="1"/>
          <w:docGrid w:type="lines" w:linePitch="312" w:charSpace="0"/>
        </w:sectPr>
      </w:pPr>
    </w:p>
    <w:p>
      <w:pPr>
        <w:ind w:firstLine="0" w:firstLineChars="0"/>
        <w:rPr>
          <w:rFonts w:ascii="黑体" w:hAnsi="黑体" w:eastAsia="黑体" w:cs="黑体"/>
          <w:szCs w:val="32"/>
        </w:rPr>
      </w:pPr>
      <w:r>
        <w:rPr>
          <w:rFonts w:hint="eastAsia" w:ascii="黑体" w:hAnsi="黑体" w:eastAsia="黑体" w:cs="黑体"/>
          <w:szCs w:val="32"/>
        </w:rPr>
        <w:t>附件2</w:t>
      </w:r>
    </w:p>
    <w:p>
      <w:pPr>
        <w:spacing w:after="312" w:afterLines="100"/>
        <w:ind w:firstLine="0" w:firstLineChars="0"/>
        <w:jc w:val="center"/>
        <w:rPr>
          <w:rFonts w:ascii="仿宋_GB2312" w:hAnsi="宋体" w:eastAsia="仿宋_GB2312"/>
          <w:sz w:val="36"/>
          <w:szCs w:val="36"/>
        </w:rPr>
      </w:pPr>
      <w:r>
        <w:rPr>
          <w:rFonts w:hint="eastAsia" w:ascii="方正小标宋简体" w:hAnsi="方正小标宋简体" w:eastAsia="方正小标宋简体" w:cs="方正小标宋简体"/>
          <w:sz w:val="36"/>
          <w:szCs w:val="36"/>
        </w:rPr>
        <w:t>2026年秋季学期开学前后安全大检查自查情况登记表</w:t>
      </w:r>
    </w:p>
    <w:tbl>
      <w:tblPr>
        <w:tblStyle w:val="10"/>
        <w:tblW w:w="9042"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3315"/>
        <w:gridCol w:w="1756"/>
        <w:gridCol w:w="2602"/>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10" w:hRule="atLeast"/>
        </w:trPr>
        <w:tc>
          <w:tcPr>
            <w:tcW w:w="1363" w:type="dxa"/>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自查部门</w:t>
            </w:r>
          </w:p>
        </w:tc>
        <w:tc>
          <w:tcPr>
            <w:tcW w:w="3315" w:type="dxa"/>
          </w:tcPr>
          <w:p>
            <w:pPr>
              <w:spacing w:line="360" w:lineRule="auto"/>
              <w:ind w:firstLine="560"/>
              <w:rPr>
                <w:rFonts w:ascii="仿宋_GB2312" w:hAnsi="宋体" w:eastAsia="仿宋_GB2312"/>
                <w:sz w:val="28"/>
                <w:szCs w:val="28"/>
              </w:rPr>
            </w:pPr>
          </w:p>
        </w:tc>
        <w:tc>
          <w:tcPr>
            <w:tcW w:w="1756" w:type="dxa"/>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自查时间</w:t>
            </w:r>
          </w:p>
        </w:tc>
        <w:tc>
          <w:tcPr>
            <w:tcW w:w="2602" w:type="dxa"/>
          </w:tcPr>
          <w:p>
            <w:pPr>
              <w:spacing w:line="360" w:lineRule="auto"/>
              <w:ind w:firstLine="56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63" w:type="dxa"/>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检查内容</w:t>
            </w:r>
          </w:p>
        </w:tc>
        <w:tc>
          <w:tcPr>
            <w:tcW w:w="7679" w:type="dxa"/>
            <w:gridSpan w:val="4"/>
          </w:tcPr>
          <w:p>
            <w:pPr>
              <w:spacing w:line="360" w:lineRule="auto"/>
              <w:ind w:firstLine="56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694" w:hRule="atLeast"/>
        </w:trPr>
        <w:tc>
          <w:tcPr>
            <w:tcW w:w="1363" w:type="dxa"/>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参加人员</w:t>
            </w:r>
          </w:p>
        </w:tc>
        <w:tc>
          <w:tcPr>
            <w:tcW w:w="3315" w:type="dxa"/>
          </w:tcPr>
          <w:p>
            <w:pPr>
              <w:spacing w:line="360" w:lineRule="auto"/>
              <w:ind w:firstLine="640"/>
              <w:rPr>
                <w:rFonts w:ascii="仿宋_GB2312" w:hAnsi="宋体" w:eastAsia="仿宋_GB2312"/>
                <w:szCs w:val="21"/>
              </w:rPr>
            </w:pPr>
          </w:p>
        </w:tc>
        <w:tc>
          <w:tcPr>
            <w:tcW w:w="1756" w:type="dxa"/>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记录人</w:t>
            </w:r>
          </w:p>
        </w:tc>
        <w:tc>
          <w:tcPr>
            <w:tcW w:w="2602" w:type="dxa"/>
          </w:tcPr>
          <w:p>
            <w:pPr>
              <w:spacing w:line="360" w:lineRule="auto"/>
              <w:ind w:firstLine="56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1363" w:type="dxa"/>
            <w:vAlign w:val="center"/>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安全工</w:t>
            </w:r>
          </w:p>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作落实</w:t>
            </w:r>
          </w:p>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情况</w:t>
            </w:r>
          </w:p>
        </w:tc>
        <w:tc>
          <w:tcPr>
            <w:tcW w:w="7679" w:type="dxa"/>
            <w:gridSpan w:val="4"/>
          </w:tcPr>
          <w:p>
            <w:pPr>
              <w:spacing w:line="360" w:lineRule="auto"/>
              <w:ind w:firstLine="56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3" w:hRule="atLeast"/>
        </w:trPr>
        <w:tc>
          <w:tcPr>
            <w:tcW w:w="1363" w:type="dxa"/>
            <w:vAlign w:val="center"/>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检查中发现的主要安全隐患</w:t>
            </w:r>
          </w:p>
        </w:tc>
        <w:tc>
          <w:tcPr>
            <w:tcW w:w="7679" w:type="dxa"/>
            <w:gridSpan w:val="4"/>
          </w:tcPr>
          <w:p>
            <w:pPr>
              <w:spacing w:line="360" w:lineRule="auto"/>
              <w:ind w:firstLine="56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trPr>
        <w:tc>
          <w:tcPr>
            <w:tcW w:w="1363" w:type="dxa"/>
            <w:vAlign w:val="center"/>
          </w:tcPr>
          <w:p>
            <w:pPr>
              <w:spacing w:line="360" w:lineRule="auto"/>
              <w:ind w:firstLine="0" w:firstLineChars="0"/>
              <w:jc w:val="center"/>
              <w:rPr>
                <w:rFonts w:ascii="仿宋_GB2312" w:hAnsi="宋体" w:eastAsia="仿宋_GB2312"/>
                <w:sz w:val="28"/>
                <w:szCs w:val="28"/>
              </w:rPr>
            </w:pPr>
            <w:r>
              <w:rPr>
                <w:rFonts w:hint="eastAsia" w:ascii="仿宋_GB2312" w:hAnsi="宋体" w:eastAsia="仿宋_GB2312"/>
                <w:sz w:val="28"/>
                <w:szCs w:val="28"/>
              </w:rPr>
              <w:t>安全隐患整改情况</w:t>
            </w:r>
          </w:p>
        </w:tc>
        <w:tc>
          <w:tcPr>
            <w:tcW w:w="7679" w:type="dxa"/>
            <w:gridSpan w:val="4"/>
          </w:tcPr>
          <w:p>
            <w:pPr>
              <w:spacing w:line="360" w:lineRule="auto"/>
              <w:ind w:firstLine="560"/>
              <w:rPr>
                <w:rFonts w:ascii="仿宋_GB2312" w:hAnsi="宋体" w:eastAsia="仿宋_GB2312"/>
                <w:sz w:val="28"/>
                <w:szCs w:val="28"/>
              </w:rPr>
            </w:pPr>
          </w:p>
        </w:tc>
      </w:tr>
    </w:tbl>
    <w:p>
      <w:pPr>
        <w:spacing w:line="360" w:lineRule="auto"/>
        <w:ind w:firstLine="0" w:firstLineChars="0"/>
      </w:pPr>
      <w:r>
        <w:rPr>
          <w:rFonts w:hint="eastAsia" w:ascii="仿宋_GB2312" w:hAnsi="宋体" w:eastAsia="仿宋_GB2312"/>
          <w:sz w:val="28"/>
          <w:szCs w:val="28"/>
        </w:rPr>
        <w:t xml:space="preserve">部门负责人（盖章）：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A91CA4"/>
    <w:multiLevelType w:val="multilevel"/>
    <w:tmpl w:val="58A91CA4"/>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lOWRiMTgzODliYTQ2NTk2YWUwYmZjMzEzOWI0NTUifQ=="/>
  </w:docVars>
  <w:rsids>
    <w:rsidRoot w:val="00685FE9"/>
    <w:rsid w:val="000C199F"/>
    <w:rsid w:val="001655EA"/>
    <w:rsid w:val="00186A32"/>
    <w:rsid w:val="00213C2E"/>
    <w:rsid w:val="002E2BC2"/>
    <w:rsid w:val="00362B64"/>
    <w:rsid w:val="00365917"/>
    <w:rsid w:val="003A548A"/>
    <w:rsid w:val="003B0300"/>
    <w:rsid w:val="00407857"/>
    <w:rsid w:val="00412BDA"/>
    <w:rsid w:val="00462E76"/>
    <w:rsid w:val="004716EF"/>
    <w:rsid w:val="005B0BDC"/>
    <w:rsid w:val="005D5913"/>
    <w:rsid w:val="00626557"/>
    <w:rsid w:val="00646DB3"/>
    <w:rsid w:val="006544BF"/>
    <w:rsid w:val="00685FE9"/>
    <w:rsid w:val="006B21DF"/>
    <w:rsid w:val="006F46A8"/>
    <w:rsid w:val="00717919"/>
    <w:rsid w:val="0072477F"/>
    <w:rsid w:val="0087351A"/>
    <w:rsid w:val="008B4ADC"/>
    <w:rsid w:val="00923310"/>
    <w:rsid w:val="00973F15"/>
    <w:rsid w:val="00975777"/>
    <w:rsid w:val="009F5C94"/>
    <w:rsid w:val="00A37246"/>
    <w:rsid w:val="00A81E74"/>
    <w:rsid w:val="00B16933"/>
    <w:rsid w:val="00B352C3"/>
    <w:rsid w:val="00B36667"/>
    <w:rsid w:val="00B92CFF"/>
    <w:rsid w:val="00BC3DB5"/>
    <w:rsid w:val="00CA25BD"/>
    <w:rsid w:val="00D04A6B"/>
    <w:rsid w:val="00E10B2E"/>
    <w:rsid w:val="00E27B20"/>
    <w:rsid w:val="00E54F34"/>
    <w:rsid w:val="0B4E3D10"/>
    <w:rsid w:val="0D0B79F2"/>
    <w:rsid w:val="1045769C"/>
    <w:rsid w:val="12061B44"/>
    <w:rsid w:val="146B69E3"/>
    <w:rsid w:val="18562518"/>
    <w:rsid w:val="1C322D07"/>
    <w:rsid w:val="269023BB"/>
    <w:rsid w:val="26CD4B83"/>
    <w:rsid w:val="28934DED"/>
    <w:rsid w:val="2A035AA6"/>
    <w:rsid w:val="2D1F1438"/>
    <w:rsid w:val="2FB81469"/>
    <w:rsid w:val="306D7576"/>
    <w:rsid w:val="30953201"/>
    <w:rsid w:val="30957AFA"/>
    <w:rsid w:val="34F82EF3"/>
    <w:rsid w:val="35021C06"/>
    <w:rsid w:val="350220F2"/>
    <w:rsid w:val="35D753A7"/>
    <w:rsid w:val="36616AA5"/>
    <w:rsid w:val="36F87AEB"/>
    <w:rsid w:val="388A3057"/>
    <w:rsid w:val="39C24339"/>
    <w:rsid w:val="3CE6190D"/>
    <w:rsid w:val="3EC252F6"/>
    <w:rsid w:val="3F202979"/>
    <w:rsid w:val="3FDC3BB0"/>
    <w:rsid w:val="40F5588E"/>
    <w:rsid w:val="43880DEB"/>
    <w:rsid w:val="445557DB"/>
    <w:rsid w:val="44861B44"/>
    <w:rsid w:val="4AC4397A"/>
    <w:rsid w:val="4E7D62B2"/>
    <w:rsid w:val="50BF0009"/>
    <w:rsid w:val="5275402B"/>
    <w:rsid w:val="53595059"/>
    <w:rsid w:val="54936727"/>
    <w:rsid w:val="5D341666"/>
    <w:rsid w:val="5D962565"/>
    <w:rsid w:val="665A3907"/>
    <w:rsid w:val="6D341718"/>
    <w:rsid w:val="72266F26"/>
    <w:rsid w:val="72AA2CB9"/>
    <w:rsid w:val="73205FB9"/>
    <w:rsid w:val="74663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60" w:firstLineChars="200"/>
      <w:jc w:val="both"/>
    </w:pPr>
    <w:rPr>
      <w:rFonts w:ascii="Calibri" w:hAnsi="Calibri" w:eastAsia="仿宋" w:cs="Times New Roman"/>
      <w:kern w:val="2"/>
      <w:sz w:val="32"/>
      <w:szCs w:val="24"/>
      <w:lang w:val="en-US" w:eastAsia="zh-CN" w:bidi="ar-SA"/>
    </w:rPr>
  </w:style>
  <w:style w:type="paragraph" w:styleId="2">
    <w:name w:val="heading 1"/>
    <w:basedOn w:val="1"/>
    <w:next w:val="1"/>
    <w:qFormat/>
    <w:uiPriority w:val="0"/>
    <w:pPr>
      <w:keepNext/>
      <w:keepLines/>
      <w:outlineLvl w:val="0"/>
    </w:pPr>
    <w:rPr>
      <w:rFonts w:eastAsia="黑体"/>
      <w:kern w:val="44"/>
    </w:rPr>
  </w:style>
  <w:style w:type="paragraph" w:styleId="3">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unhideWhenUsed/>
    <w:qFormat/>
    <w:uiPriority w:val="99"/>
    <w:pPr>
      <w:spacing w:after="120"/>
    </w:pPr>
  </w:style>
  <w:style w:type="paragraph" w:styleId="5">
    <w:name w:val="Balloon Text"/>
    <w:basedOn w:val="1"/>
    <w:link w:val="15"/>
    <w:qFormat/>
    <w:uiPriority w:val="0"/>
    <w:pPr>
      <w:spacing w:line="240" w:lineRule="auto"/>
    </w:pPr>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Normal (Web)"/>
    <w:basedOn w:val="1"/>
    <w:qFormat/>
    <w:uiPriority w:val="0"/>
    <w:pPr>
      <w:jc w:val="left"/>
    </w:pPr>
    <w:rPr>
      <w:kern w:val="0"/>
      <w:sz w:val="24"/>
    </w:rPr>
  </w:style>
  <w:style w:type="paragraph" w:styleId="9">
    <w:name w:val="Body Text First Indent"/>
    <w:basedOn w:val="4"/>
    <w:unhideWhenUsed/>
    <w:qFormat/>
    <w:uiPriority w:val="0"/>
    <w:pPr>
      <w:ind w:firstLine="420" w:firstLineChars="100"/>
    </w:pPr>
  </w:style>
  <w:style w:type="character" w:styleId="12">
    <w:name w:val="Strong"/>
    <w:basedOn w:val="11"/>
    <w:qFormat/>
    <w:uiPriority w:val="0"/>
    <w:rPr>
      <w:b/>
    </w:rPr>
  </w:style>
  <w:style w:type="character" w:styleId="13">
    <w:name w:val="FollowedHyperlink"/>
    <w:qFormat/>
    <w:uiPriority w:val="0"/>
    <w:rPr>
      <w:color w:val="800080"/>
      <w:u w:val="single"/>
    </w:rPr>
  </w:style>
  <w:style w:type="character" w:styleId="14">
    <w:name w:val="Hyperlink"/>
    <w:qFormat/>
    <w:uiPriority w:val="0"/>
    <w:rPr>
      <w:color w:val="0563C1"/>
      <w:u w:val="single"/>
    </w:rPr>
  </w:style>
  <w:style w:type="character" w:customStyle="1" w:styleId="15">
    <w:name w:val="批注框文本 字符"/>
    <w:link w:val="5"/>
    <w:qFormat/>
    <w:uiPriority w:val="0"/>
    <w:rPr>
      <w:rFonts w:ascii="Calibri" w:hAnsi="Calibri" w:eastAsia="仿宋"/>
      <w:kern w:val="2"/>
      <w:sz w:val="18"/>
      <w:szCs w:val="18"/>
    </w:rPr>
  </w:style>
  <w:style w:type="character" w:customStyle="1" w:styleId="16">
    <w:name w:val="未处理的提及1"/>
    <w:unhideWhenUsed/>
    <w:qFormat/>
    <w:uiPriority w:val="99"/>
    <w:rPr>
      <w:color w:val="605E5C"/>
      <w:shd w:val="clear" w:color="auto" w:fill="E1DFDD"/>
    </w:rPr>
  </w:style>
  <w:style w:type="paragraph" w:customStyle="1" w:styleId="17">
    <w:name w:val="无间隔1"/>
    <w:basedOn w:val="1"/>
    <w:qFormat/>
    <w:uiPriority w:val="0"/>
    <w:rPr>
      <w:szCs w:val="21"/>
    </w:rPr>
  </w:style>
  <w:style w:type="paragraph" w:styleId="18">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4311</Words>
  <Characters>4461</Characters>
  <Lines>33</Lines>
  <Paragraphs>9</Paragraphs>
  <TotalTime>10</TotalTime>
  <ScaleCrop>false</ScaleCrop>
  <LinksUpToDate>false</LinksUpToDate>
  <CharactersWithSpaces>4472</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2024-08-23T12:03:00Z</dcterms:created>
  <dc:creator>秦伟</dc:creator>
  <cp:lastModifiedBy>Administrator</cp:lastModifiedBy>
  <cp:lastPrinted>2026-06-23T07:27:00Z</cp:lastPrinted>
  <dcterms:modified xsi:type="dcterms:W3CDTF">2026-08-24T06:26:12Z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A6FA9CFB0EDB4D2A928276ECC1D5C673</vt:lpwstr>
  </property>
  <property fmtid="{D5CDD505-2E9C-101B-9397-08002B2CF9AE}" pid="4" name="KSOTemplateDocerSaveRecord">
    <vt:lpwstr>eyJoZGlkIjoiNThlOWRiMTgzODliYTQ2NTk2YWUwYmZjMzEzOWI0NTUifQ==</vt:lpwstr>
  </property>
</Properties>
</file>