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hint="default" w:ascii="宋体" w:hAnsi="宋体" w:eastAsia="宋体" w:cs="宋体"/>
          <w:b w:val="0"/>
          <w:bCs w:val="0"/>
          <w:color w:val="000000"/>
          <w:kern w:val="0"/>
          <w:sz w:val="30"/>
          <w:szCs w:val="30"/>
          <w:lang w:val="en-US" w:eastAsia="zh-CN" w:bidi="ar"/>
        </w:rPr>
      </w:pPr>
      <w:r>
        <w:rPr>
          <w:rFonts w:hint="eastAsia" w:ascii="宋体" w:hAnsi="宋体" w:eastAsia="宋体" w:cs="宋体"/>
          <w:b w:val="0"/>
          <w:bCs w:val="0"/>
          <w:color w:val="000000"/>
          <w:kern w:val="0"/>
          <w:sz w:val="30"/>
          <w:szCs w:val="30"/>
          <w:lang w:val="en-US" w:eastAsia="zh-CN" w:bidi="ar"/>
        </w:rPr>
        <w:t>附件2：</w:t>
      </w:r>
      <w:bookmarkStart w:id="0" w:name="_GoBack"/>
      <w:bookmarkEnd w:id="0"/>
    </w:p>
    <w:tbl>
      <w:tblPr>
        <w:tblStyle w:val="2"/>
        <w:tblW w:w="13491" w:type="dxa"/>
        <w:tblInd w:w="93" w:type="dxa"/>
        <w:tblLayout w:type="autofit"/>
        <w:tblCellMar>
          <w:top w:w="0" w:type="dxa"/>
          <w:left w:w="108" w:type="dxa"/>
          <w:bottom w:w="0" w:type="dxa"/>
          <w:right w:w="108" w:type="dxa"/>
        </w:tblCellMar>
      </w:tblPr>
      <w:tblGrid>
        <w:gridCol w:w="1009"/>
        <w:gridCol w:w="2517"/>
        <w:gridCol w:w="7948"/>
        <w:gridCol w:w="1009"/>
        <w:gridCol w:w="1008"/>
      </w:tblGrid>
      <w:tr>
        <w:tblPrEx>
          <w:tblCellMar>
            <w:top w:w="0" w:type="dxa"/>
            <w:left w:w="108" w:type="dxa"/>
            <w:bottom w:w="0" w:type="dxa"/>
            <w:right w:w="108" w:type="dxa"/>
          </w:tblCellMar>
        </w:tblPrEx>
        <w:trPr>
          <w:trHeight w:val="1260" w:hRule="atLeast"/>
        </w:trPr>
        <w:tc>
          <w:tcPr>
            <w:tcW w:w="13491" w:type="dxa"/>
            <w:gridSpan w:val="5"/>
            <w:tcBorders>
              <w:top w:val="nil"/>
              <w:left w:val="nil"/>
              <w:bottom w:val="nil"/>
              <w:right w:val="nil"/>
            </w:tcBorders>
            <w:shd w:val="clear" w:color="auto" w:fill="auto"/>
            <w:noWrap/>
            <w:vAlign w:val="center"/>
          </w:tcPr>
          <w:p>
            <w:pPr>
              <w:widowControl/>
              <w:jc w:val="left"/>
              <w:textAlignment w:val="center"/>
              <w:rPr>
                <w:rFonts w:hint="eastAsia" w:ascii="宋体" w:hAnsi="宋体" w:eastAsia="宋体" w:cs="宋体"/>
                <w:b/>
                <w:bCs/>
                <w:color w:val="000000"/>
                <w:kern w:val="0"/>
                <w:sz w:val="40"/>
                <w:szCs w:val="40"/>
                <w:lang w:bidi="ar"/>
              </w:rPr>
            </w:pPr>
          </w:p>
          <w:p>
            <w:pPr>
              <w:widowControl/>
              <w:jc w:val="left"/>
              <w:textAlignment w:val="center"/>
              <w:rPr>
                <w:rFonts w:ascii="宋体" w:hAnsi="宋体" w:eastAsia="宋体" w:cs="宋体"/>
                <w:b/>
                <w:bCs/>
                <w:color w:val="000000"/>
                <w:kern w:val="0"/>
                <w:sz w:val="40"/>
                <w:szCs w:val="40"/>
                <w:lang w:bidi="ar"/>
              </w:rPr>
            </w:pPr>
            <w:r>
              <w:rPr>
                <w:rFonts w:hint="eastAsia" w:ascii="宋体" w:hAnsi="宋体" w:eastAsia="宋体" w:cs="宋体"/>
                <w:b/>
                <w:bCs/>
                <w:color w:val="000000"/>
                <w:kern w:val="0"/>
                <w:sz w:val="40"/>
                <w:szCs w:val="40"/>
                <w:lang w:bidi="ar"/>
              </w:rPr>
              <w:t>本期申请新建监控项目分为两部分：</w:t>
            </w:r>
          </w:p>
          <w:p>
            <w:pPr>
              <w:widowControl/>
              <w:jc w:val="left"/>
              <w:textAlignment w:val="center"/>
              <w:rPr>
                <w:rFonts w:ascii="宋体" w:hAnsi="宋体" w:eastAsia="宋体" w:cs="宋体"/>
                <w:b/>
                <w:bCs/>
                <w:color w:val="000000"/>
                <w:kern w:val="0"/>
                <w:sz w:val="40"/>
                <w:szCs w:val="40"/>
                <w:lang w:bidi="ar"/>
              </w:rPr>
            </w:pPr>
          </w:p>
          <w:p>
            <w:pPr>
              <w:widowControl/>
              <w:numPr>
                <w:ilvl w:val="0"/>
                <w:numId w:val="1"/>
              </w:numPr>
              <w:jc w:val="left"/>
              <w:textAlignment w:val="center"/>
              <w:rPr>
                <w:rFonts w:ascii="宋体" w:hAnsi="宋体" w:eastAsia="宋体" w:cs="宋体"/>
                <w:b/>
                <w:bCs/>
                <w:color w:val="000000"/>
                <w:kern w:val="0"/>
                <w:sz w:val="40"/>
                <w:szCs w:val="40"/>
                <w:lang w:bidi="ar"/>
              </w:rPr>
            </w:pPr>
            <w:r>
              <w:rPr>
                <w:rFonts w:hint="eastAsia" w:ascii="宋体" w:hAnsi="宋体" w:eastAsia="宋体" w:cs="宋体"/>
                <w:b/>
                <w:bCs/>
                <w:color w:val="000000"/>
                <w:kern w:val="0"/>
                <w:sz w:val="40"/>
                <w:szCs w:val="40"/>
                <w:lang w:bidi="ar"/>
              </w:rPr>
              <w:t>无监控视频重点区域新增高清监控点位进行监控补盲、12号宿舍楼之前未安装监控，本期对12号宿舍楼新增监控</w:t>
            </w:r>
          </w:p>
          <w:p>
            <w:pPr>
              <w:widowControl/>
              <w:numPr>
                <w:ilvl w:val="0"/>
                <w:numId w:val="1"/>
              </w:numPr>
              <w:jc w:val="left"/>
              <w:textAlignment w:val="center"/>
              <w:rPr>
                <w:rFonts w:ascii="宋体" w:hAnsi="宋体" w:eastAsia="宋体" w:cs="宋体"/>
                <w:b/>
                <w:bCs/>
                <w:color w:val="000000"/>
                <w:kern w:val="0"/>
                <w:sz w:val="40"/>
                <w:szCs w:val="40"/>
                <w:lang w:bidi="ar"/>
              </w:rPr>
            </w:pPr>
            <w:r>
              <w:rPr>
                <w:rFonts w:hint="eastAsia" w:ascii="宋体" w:hAnsi="宋体" w:eastAsia="宋体" w:cs="宋体"/>
                <w:b/>
                <w:bCs/>
                <w:color w:val="000000"/>
                <w:kern w:val="0"/>
                <w:sz w:val="40"/>
                <w:szCs w:val="40"/>
                <w:lang w:bidi="ar"/>
              </w:rPr>
              <w:t>机房根据实际需求将视频进行存储扩容，另外增加一定数量的平台视频授权，以满足前期增加的部分点位授权及本期新增监控的视频授权</w:t>
            </w:r>
          </w:p>
          <w:p>
            <w:pPr>
              <w:widowControl/>
              <w:jc w:val="center"/>
              <w:textAlignment w:val="center"/>
              <w:rPr>
                <w:rFonts w:ascii="宋体" w:hAnsi="宋体" w:eastAsia="宋体" w:cs="宋体"/>
                <w:b/>
                <w:bCs/>
                <w:color w:val="000000"/>
                <w:kern w:val="0"/>
                <w:sz w:val="48"/>
                <w:szCs w:val="48"/>
                <w:lang w:bidi="ar"/>
              </w:rPr>
            </w:pPr>
          </w:p>
          <w:p>
            <w:pPr>
              <w:widowControl/>
              <w:jc w:val="both"/>
              <w:textAlignment w:val="center"/>
              <w:rPr>
                <w:rFonts w:ascii="宋体" w:hAnsi="宋体" w:eastAsia="宋体" w:cs="宋体"/>
                <w:b/>
                <w:bCs/>
                <w:color w:val="000000"/>
                <w:kern w:val="0"/>
                <w:sz w:val="48"/>
                <w:szCs w:val="48"/>
                <w:lang w:bidi="ar"/>
              </w:rPr>
            </w:pPr>
          </w:p>
          <w:p>
            <w:pPr>
              <w:widowControl/>
              <w:jc w:val="both"/>
              <w:textAlignment w:val="center"/>
              <w:rPr>
                <w:rFonts w:ascii="宋体" w:hAnsi="宋体" w:eastAsia="宋体" w:cs="宋体"/>
                <w:b/>
                <w:bCs/>
                <w:color w:val="000000"/>
                <w:kern w:val="0"/>
                <w:sz w:val="48"/>
                <w:szCs w:val="48"/>
                <w:lang w:bidi="ar"/>
              </w:rPr>
            </w:pPr>
          </w:p>
          <w:p>
            <w:pPr>
              <w:widowControl/>
              <w:jc w:val="both"/>
              <w:textAlignment w:val="center"/>
              <w:rPr>
                <w:rFonts w:ascii="宋体" w:hAnsi="宋体" w:eastAsia="宋体" w:cs="宋体"/>
                <w:b/>
                <w:bCs/>
                <w:color w:val="000000"/>
                <w:kern w:val="0"/>
                <w:sz w:val="48"/>
                <w:szCs w:val="48"/>
                <w:lang w:bidi="ar"/>
              </w:rPr>
            </w:pPr>
          </w:p>
          <w:p>
            <w:pPr>
              <w:widowControl/>
              <w:jc w:val="both"/>
              <w:textAlignment w:val="center"/>
              <w:rPr>
                <w:rFonts w:ascii="宋体" w:hAnsi="宋体" w:eastAsia="宋体" w:cs="宋体"/>
                <w:b/>
                <w:bCs/>
                <w:color w:val="000000"/>
                <w:kern w:val="0"/>
                <w:sz w:val="48"/>
                <w:szCs w:val="48"/>
                <w:lang w:bidi="ar"/>
              </w:rPr>
            </w:pPr>
          </w:p>
          <w:p>
            <w:pPr>
              <w:widowControl/>
              <w:jc w:val="center"/>
              <w:textAlignment w:val="center"/>
              <w:rPr>
                <w:rFonts w:ascii="宋体" w:hAnsi="宋体" w:eastAsia="宋体" w:cs="宋体"/>
                <w:b/>
                <w:bCs/>
                <w:color w:val="000000"/>
                <w:sz w:val="48"/>
                <w:szCs w:val="48"/>
              </w:rPr>
            </w:pPr>
            <w:r>
              <w:rPr>
                <w:rFonts w:hint="eastAsia" w:ascii="宋体" w:hAnsi="宋体" w:eastAsia="宋体" w:cs="宋体"/>
                <w:b/>
                <w:bCs/>
                <w:color w:val="000000"/>
                <w:kern w:val="0"/>
                <w:sz w:val="48"/>
                <w:szCs w:val="48"/>
                <w:lang w:bidi="ar"/>
              </w:rPr>
              <w:t>南京中医药大学泰州校区监控补盲项目</w:t>
            </w:r>
          </w:p>
        </w:tc>
      </w:tr>
      <w:tr>
        <w:tblPrEx>
          <w:tblCellMar>
            <w:top w:w="0" w:type="dxa"/>
            <w:left w:w="108" w:type="dxa"/>
            <w:bottom w:w="0" w:type="dxa"/>
            <w:right w:w="108" w:type="dxa"/>
          </w:tblCellMar>
        </w:tblPrEx>
        <w:trPr>
          <w:trHeight w:val="3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序号</w:t>
            </w:r>
          </w:p>
        </w:tc>
        <w:tc>
          <w:tcPr>
            <w:tcW w:w="2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名称</w:t>
            </w:r>
          </w:p>
        </w:tc>
        <w:tc>
          <w:tcPr>
            <w:tcW w:w="7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参数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数量</w:t>
            </w:r>
          </w:p>
        </w:tc>
      </w:tr>
      <w:tr>
        <w:tblPrEx>
          <w:tblCellMar>
            <w:top w:w="0" w:type="dxa"/>
            <w:left w:w="108" w:type="dxa"/>
            <w:bottom w:w="0" w:type="dxa"/>
            <w:right w:w="108" w:type="dxa"/>
          </w:tblCellMar>
        </w:tblPrEx>
        <w:trPr>
          <w:trHeight w:val="3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4"/>
              </w:rPr>
            </w:pPr>
          </w:p>
        </w:tc>
        <w:tc>
          <w:tcPr>
            <w:tcW w:w="2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7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4"/>
              </w:rPr>
            </w:pPr>
          </w:p>
        </w:tc>
      </w:tr>
      <w:tr>
        <w:tblPrEx>
          <w:tblCellMar>
            <w:top w:w="0" w:type="dxa"/>
            <w:left w:w="108" w:type="dxa"/>
            <w:bottom w:w="0" w:type="dxa"/>
            <w:right w:w="108" w:type="dxa"/>
          </w:tblCellMar>
        </w:tblPrEx>
        <w:trPr>
          <w:trHeight w:val="507"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b/>
                <w:bCs/>
                <w:color w:val="000000"/>
                <w:kern w:val="0"/>
                <w:sz w:val="24"/>
                <w:lang w:bidi="ar"/>
              </w:rPr>
              <w:t>项目名称：南京中医药大学泰州校区监控补盲项目</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全彩网络枪型摄像机</w:t>
            </w:r>
          </w:p>
        </w:tc>
        <w:tc>
          <w:tcPr>
            <w:tcW w:w="778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4"/>
              </w:rPr>
            </w:pPr>
            <w:r>
              <w:rPr>
                <w:rFonts w:hint="eastAsia" w:ascii="宋体" w:hAnsi="宋体" w:eastAsia="宋体" w:cs="宋体"/>
                <w:color w:val="000000"/>
                <w:kern w:val="0"/>
                <w:sz w:val="24"/>
                <w:lang w:bidi="ar"/>
              </w:rPr>
              <w:t>1、具有400万像素 CMOS传感器。</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2、具有不小于1/1.8"靶面尺寸</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3、最低照度彩色：0.0005 lx。</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★4、内置暖白光补光灯。（投标时公安部检验报告证明并加盖原厂公章）</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★5、补光距离不小于60米。（投标时公安部检验报告证明并加盖原厂公章）</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6、动态范围不小于106dB。</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7、信噪比不小于62dB。</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★8、需支持IP67防尘防水。（投标时公安部检验报告证明并加盖原厂公章）</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9、需支持DC12V供电，且在不小于DC12V±30%范围内变化时可以正常工作。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48</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全彩网络半球形摄像机</w:t>
            </w:r>
          </w:p>
        </w:tc>
        <w:tc>
          <w:tcPr>
            <w:tcW w:w="778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4"/>
              </w:rPr>
            </w:pPr>
            <w:r>
              <w:rPr>
                <w:rFonts w:hint="eastAsia" w:ascii="宋体" w:hAnsi="宋体" w:eastAsia="宋体" w:cs="宋体"/>
                <w:color w:val="000000"/>
                <w:kern w:val="0"/>
                <w:sz w:val="24"/>
                <w:lang w:bidi="ar"/>
              </w:rPr>
              <w:t>1、在2560x1440下分辨力可达到1400TVL。</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2、靶面尺寸为1/2.7英寸。</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3、需支持IP66防尘防水。</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4、支持DC12V或poe供电。</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5、内置1个麦克风，1个RJ45网络接口。</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6、信噪比不小于55dB。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53</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24口POE交换机</w:t>
            </w:r>
          </w:p>
        </w:tc>
        <w:tc>
          <w:tcPr>
            <w:tcW w:w="778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4"/>
              </w:rPr>
            </w:pPr>
            <w:r>
              <w:rPr>
                <w:rFonts w:hint="eastAsia" w:ascii="宋体" w:hAnsi="宋体" w:eastAsia="宋体" w:cs="宋体"/>
                <w:color w:val="000000"/>
                <w:kern w:val="0"/>
                <w:sz w:val="24"/>
                <w:lang w:bidi="ar"/>
              </w:rPr>
              <w:t>提供24个千兆PoE电口，2个千兆光口</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交换容量：52 Gbps</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包转发率：38.69 Mpps</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支持IEEE 802.3at/af</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端口最大供电功率：30 W</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整机最大供电功率：225W</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支持IEEE 802.3、IEEE 802.3u、IEEE 802.3x</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支持6 KV防浪涌（PoE口）</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支持PoE输出功率管理</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浪涌防护：6 KV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16口POE交换机</w:t>
            </w:r>
          </w:p>
        </w:tc>
        <w:tc>
          <w:tcPr>
            <w:tcW w:w="778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4"/>
              </w:rPr>
            </w:pPr>
            <w:r>
              <w:rPr>
                <w:rFonts w:hint="eastAsia" w:ascii="宋体" w:hAnsi="宋体" w:eastAsia="宋体" w:cs="宋体"/>
                <w:color w:val="000000"/>
                <w:kern w:val="0"/>
                <w:sz w:val="24"/>
                <w:lang w:bidi="ar"/>
              </w:rPr>
              <w:t>提供16个千兆PoE电口、2个千兆光口</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交换容量：56 Gbps</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包转发率：41.67 Mpps</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支持IEEE 802.3at/af标准</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端口最大供电功率：30 W</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整机最大供电功率：230 W</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支持6 KV防浪涌（PoE口）</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支持IEEE 802.3、IEEE 802.3u、IEEE 802.3x、IEEE 802.3ab</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支持管理平台管理</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支持手机APP管理</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支持安防网络拓扑管理、端口管理，支持远程升级</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支持静态链路聚合</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支持PoE输出功率管理</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支持VLAN</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支持SNMPv1/v2c协议</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支持DHCP Snooping</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支持终端安全防护</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坚固式高强度金属外壳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8口POE供电交换机</w:t>
            </w:r>
          </w:p>
        </w:tc>
        <w:tc>
          <w:tcPr>
            <w:tcW w:w="778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4"/>
              </w:rPr>
            </w:pPr>
            <w:r>
              <w:rPr>
                <w:rFonts w:hint="eastAsia" w:ascii="宋体" w:hAnsi="宋体" w:eastAsia="宋体" w:cs="宋体"/>
                <w:color w:val="000000"/>
                <w:kern w:val="0"/>
                <w:sz w:val="24"/>
                <w:lang w:bidi="ar"/>
              </w:rPr>
              <w:t>提供8个百兆PoE电口，1个百兆网络电口。</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支持IEEE 802.3at/af。</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支持IEEE 802.3、IEEE 802.3u、IEEE 802.3x。</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支持红口保障。</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支持最远250 m传输。</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支持6 KV防浪涌（PoE口）</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支持PoE输出功率管理。</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百兆网络接入设计。</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线速转发、无阻塞设计。</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存储转发交换方式。</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坚固式高强度金属外壳。</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无风扇设计，高可靠性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5口POE供电交换机</w:t>
            </w:r>
          </w:p>
        </w:tc>
        <w:tc>
          <w:tcPr>
            <w:tcW w:w="778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4"/>
              </w:rPr>
            </w:pPr>
            <w:r>
              <w:rPr>
                <w:rFonts w:hint="eastAsia" w:ascii="宋体" w:hAnsi="宋体" w:eastAsia="宋体" w:cs="宋体"/>
                <w:color w:val="000000"/>
                <w:kern w:val="0"/>
                <w:sz w:val="24"/>
                <w:lang w:bidi="ar"/>
              </w:rPr>
              <w:t>提供4个百兆PoE电口，1个百兆网络电口</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支持IEEE 802.3at/af</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支持IEEE 802.3、IEEE 802.3u、IEEE 802.3x</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支持红口保障</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支持最远250 m传输</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支持6 KV防浪涌（PoE口）</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支持PoE输出功率管理</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百兆网络接入设计</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线速转发、无阻塞设计</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存储转发交换方式</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坚固式高强度金属外壳</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无风扇设计，高可靠性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一体化存储设备</w:t>
            </w:r>
          </w:p>
        </w:tc>
        <w:tc>
          <w:tcPr>
            <w:tcW w:w="778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4"/>
              </w:rPr>
            </w:pPr>
            <w:r>
              <w:rPr>
                <w:rFonts w:hint="eastAsia" w:ascii="宋体" w:hAnsi="宋体" w:eastAsia="宋体" w:cs="宋体"/>
                <w:color w:val="000000"/>
                <w:kern w:val="0"/>
                <w:sz w:val="24"/>
                <w:lang w:bidi="ar"/>
              </w:rPr>
              <w:t>★1、单设备配置≥64位多核处理器，≥8GB内存，内存支持扩展到≥128GB，内置SSD固态硬盘和企业级硬盘（投标时公安部检验报告证明并加盖原厂公章）</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★2、内置不小于175TB企业级存储容量，标配≥2个千兆网口，2个USB3.0接口；</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3、提供RAID0、1、3、5、6、10、50，60、JBOD、VRAID、iRAID模式</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4、应能可对视音频、图片、智能数据流进行混合直存，无须存储服务器和图片服务器的参与，平台服务器宕机时，存储业务正常；</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5、应能接入并存储800Mbps视频图像，同时转发800Mbps的视频图像；同时回放128Mbps的视频图像；一键配置存储模式，自动实现RAID5或VRAID创建与空间划分</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★6、应能在RAID内丢失2块（含）以上硬盘但至少有1块正常磁盘时，无需等待丢失盘恢复，保留的硬盘中的数据可正常读出，且新数据可正常写入（投标时公安部检验报告证明并加盖原厂公章）</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7、可支持视频质量诊断功能，对图像的亮度、偏色、对比度、清晰度、视频丢失、条纹干扰、视频噪声、视频虚焦等特征进行实时分析，并以日志、报表和图形化方式显示结果（投标时公安部检验报告证明并加盖原厂公章）</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8、应能支持报警预录功能，应能预录报警触发前1-40min的视频录像，应能支持MPEG4、H.264、H.265、SVAC编码格式和分辨率为4096×2160的前端设备并存储录像文件。</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9、可对指定的录像段或指定事件的1个或多个前端的不同时间段的录像段添加标签，并自动备份到存档卷中，使之不会被覆盖删除。可根据事件名称查询所有相关联的不同前端或时间的录像段并进行回放和下载。（投标时公安部检验报告证明并加盖原厂公章）</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★10、可通过IE浏览器对一台、多台样机或扩展柜中的磁盘进行定位，使对应的磁盘指示灯闪烁，闪烁的时长可设。（投标时公安部检验报告证明并加盖原厂公章）</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★11、在UI界面实时显示磁盘体检状态，对异常状态磁盘，可查看处理建议信息。在冗余范围内元数据丢失时，可自动进行数据恢复，并保持业务不中断。（投标时公安部检验报告证明并加盖原厂公章）</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12、可将接入样机的网络设备的IP地址、端口号等信息以excel形式进行导入导出</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★13、需无缝对接学校现有视频存储系统，实现学校存储资源池的统一管理，投标时提供无缝对接承诺函。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视频点位授权</w:t>
            </w:r>
          </w:p>
        </w:tc>
        <w:tc>
          <w:tcPr>
            <w:tcW w:w="778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4"/>
              </w:rPr>
            </w:pPr>
            <w:r>
              <w:rPr>
                <w:rFonts w:hint="eastAsia" w:ascii="宋体" w:hAnsi="宋体" w:eastAsia="宋体" w:cs="宋体"/>
                <w:color w:val="000000"/>
                <w:kern w:val="0"/>
                <w:sz w:val="24"/>
                <w:lang w:bidi="ar"/>
              </w:rPr>
              <w:t>学校现有综合安防管理平台视频点位授权扩容，实现平台统一管理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200</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9</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9U挂墙机柜</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1.规格：600mm(W)*450mm(H)502mm(D)</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2.柜门采用前玻璃后网孔门，1.2mm厚优质冷轧钢板制作；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室外防水箱</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尺寸：300*400*200 安装方式：支持挂墙、抱杆 防水防腐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11</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机柜插座</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6位 公牛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12</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12芯光纤</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规格：室外9/125层绞式轻铠装单模光缆</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高强度松套管，管内充有阻水油膏；</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轻铠装结构，中心有一根的钢丝用于增强硬度，外面一层为高强度中心松套管围绕着中心加强钢丝，紧松套管外面为双面涂塑钢带（PSP）加强了光缆的允许压力，抗冲击力及防潮性能；</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光纤传输特性</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衰减：1310nm    ≤0.36dB/km</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1550nm    ≤0.22dB/km</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色散系数：1285~1340nm   -3.5~3.5ps/(nm.km)</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 xml:space="preserve">          1550nm    ≤18ps/(nm.km)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850</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13</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前端设备熔接盘</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8芯单模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14</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电源线</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RVV2*1.0  导体为多支退火裸铜导体绞合 聚氯乙烯绝缘 额定电压300/300V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500</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15</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网线</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CAT5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5000</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16</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光纤收发器</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单模单纤千兆收发器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5</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17</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PVC线管</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2000</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18</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3米光纤跳线</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3米单芯单模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36</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19</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室外标准立杆</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热镀锌钢管、外喷塑，直径110mm,杆高不小于3.5米，抗风等级10级及以上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20</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100CM挑臂</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热镀锌钢管、外喷塑，直径40mm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21</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熔纤</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定制、损耗≦0.01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24</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22</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2米5类非屏蔽RJ45跳线</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、规格：2米5类非屏蔽智能导光定位网络跳线</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2、产品功能：在跳线一端水晶头上用光源照射后，另一端水晶头上的导光线会发光，从而快速定位跳线的另一端位置；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23</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PE管</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25MM线管 满足工程，含各种规格管材、增补井及井盖、开挖、回填、修复等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350</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24</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混凝土</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C25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25</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管网开挖</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深度50-70cm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110</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26</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施工辅材</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含各种标准件配件、接电辅材配件、砂浆水泥等施工所需一切辅助材料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27</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安装调试</w:t>
            </w:r>
          </w:p>
        </w:tc>
        <w:tc>
          <w:tcPr>
            <w:tcW w:w="7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集成调试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08907"/>
    <w:multiLevelType w:val="singleLevel"/>
    <w:tmpl w:val="655089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GNjYTc5YTVmMDM0NDVjZTU4MGE1MjAzMzA2MTMifQ=="/>
  </w:docVars>
  <w:rsids>
    <w:rsidRoot w:val="218A6679"/>
    <w:rsid w:val="00071095"/>
    <w:rsid w:val="00287E5B"/>
    <w:rsid w:val="00326D6D"/>
    <w:rsid w:val="004D3499"/>
    <w:rsid w:val="00792AEC"/>
    <w:rsid w:val="009E66FE"/>
    <w:rsid w:val="00B22A0B"/>
    <w:rsid w:val="010B1E91"/>
    <w:rsid w:val="012C161B"/>
    <w:rsid w:val="049B6AD8"/>
    <w:rsid w:val="073E049D"/>
    <w:rsid w:val="084B6E5E"/>
    <w:rsid w:val="086214D8"/>
    <w:rsid w:val="0B8E5BB5"/>
    <w:rsid w:val="0EA61D2D"/>
    <w:rsid w:val="192A40AC"/>
    <w:rsid w:val="1B577F8C"/>
    <w:rsid w:val="1FAC1E34"/>
    <w:rsid w:val="213C4AF1"/>
    <w:rsid w:val="218A6679"/>
    <w:rsid w:val="272749DA"/>
    <w:rsid w:val="2AD928E0"/>
    <w:rsid w:val="2E7354B4"/>
    <w:rsid w:val="2F2A2C43"/>
    <w:rsid w:val="2F752EAD"/>
    <w:rsid w:val="31B34BEB"/>
    <w:rsid w:val="32237FAD"/>
    <w:rsid w:val="348B6FA1"/>
    <w:rsid w:val="36AB34B2"/>
    <w:rsid w:val="385518F3"/>
    <w:rsid w:val="39122A03"/>
    <w:rsid w:val="3C1D4EB0"/>
    <w:rsid w:val="3C3B6A19"/>
    <w:rsid w:val="3D927991"/>
    <w:rsid w:val="44440028"/>
    <w:rsid w:val="475E5AF6"/>
    <w:rsid w:val="48977E04"/>
    <w:rsid w:val="4A7A16B0"/>
    <w:rsid w:val="4DA53E75"/>
    <w:rsid w:val="5040112E"/>
    <w:rsid w:val="53C06E62"/>
    <w:rsid w:val="542E662F"/>
    <w:rsid w:val="54390A09"/>
    <w:rsid w:val="5646609D"/>
    <w:rsid w:val="570864B5"/>
    <w:rsid w:val="5BBB0BCB"/>
    <w:rsid w:val="5E797862"/>
    <w:rsid w:val="5F8E50DA"/>
    <w:rsid w:val="5FD72EFA"/>
    <w:rsid w:val="60FB35C3"/>
    <w:rsid w:val="63446749"/>
    <w:rsid w:val="674578E4"/>
    <w:rsid w:val="6AF01CCB"/>
    <w:rsid w:val="6C210393"/>
    <w:rsid w:val="6D4C4A1B"/>
    <w:rsid w:val="6E7F4042"/>
    <w:rsid w:val="6EB361C0"/>
    <w:rsid w:val="6EFB4E2A"/>
    <w:rsid w:val="6F037DB7"/>
    <w:rsid w:val="6FFE6A65"/>
    <w:rsid w:val="71F90FDF"/>
    <w:rsid w:val="772F2E4B"/>
    <w:rsid w:val="79D329B7"/>
    <w:rsid w:val="7B29142E"/>
    <w:rsid w:val="7D012F4F"/>
    <w:rsid w:val="7D0D29FF"/>
    <w:rsid w:val="7F0C4951"/>
    <w:rsid w:val="7F5A5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2464</Words>
  <Characters>3097</Characters>
  <Lines>24</Lines>
  <Paragraphs>6</Paragraphs>
  <TotalTime>19</TotalTime>
  <ScaleCrop>false</ScaleCrop>
  <LinksUpToDate>false</LinksUpToDate>
  <CharactersWithSpaces>3173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2023-11-02T02:07:00Z</dcterms:created>
  <dc:creator>蓝樱浅蝶</dc:creator>
  <cp:lastModifiedBy>华子</cp:lastModifiedBy>
  <dcterms:modified xsi:type="dcterms:W3CDTF">2024-06-24T06:50:03Z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1BE1FFF015D44C3A83B46F31B859E4E6_13</vt:lpwstr>
  </property>
</Properties>
</file>